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CONFIDENCIALIDAD</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Acuerdo de Confidencialidad Mutua</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acuerdo breve y equilibrado que permite 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y a otra organización compartir información confidencial de forma segura mientras exploran la posibilidad de trabajar juntas.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Antes de una alianza, una fusión, una propuesta conjunta o un contrato importante, a menudo ambas partes necesitan ver los planes, presupuestos o métodos de la otra. Un acuerdo de confidencialidad mutua (a menudo llamado NDA mutuo, por sus siglas en inglés, o acuerdo de no divulgación) fija las reglas para esa información, de modo que ambas partes puedan hablar con franqueza. Es breve y justo para las dos partes, lo que facilita su firma.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Posibles socios y miembros de consorcios; empresas e inversores sociales en conversaciones iniciales; organizaciones que estudian una fusión; proveedores que necesitan ver tus sistemas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30–60 minutos para adaptarlo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5 · Sustain &amp; Run, Módulo 12 (Alianzas);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Memorando de Entendimiento de Alianza · Contrato de Servicios · Acuerdo de Intercambio de Datos · Política de Protección de Datos · Política de TI y Seguridad de la Información · Política y Procedimiento de Denuncia de Irregularidades · Lista de Verificación para Revisión Legal</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ACUERDO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ambas organizaciones vayan a compartir información confidencial con un propósito definido, como explorar una alianza, preparar una propuesta conjunta de financiación, estudiar una fusión o evaluar los sistemas de un proveedor.</w:t>
            </w:r>
          </w:p>
          <w:p>
            <w:pPr>
              <w:spacing w:after="120" w:before="0" w:line="300"/>
            </w:pPr>
            <w:r>
              <w:rPr>
                <w:rFonts w:ascii="Nunito Sans" w:cs="Nunito Sans" w:eastAsia="Nunito Sans" w:hAnsi="Nunito Sans"/>
                <w:b/>
                <w:bCs/>
                <w:color w:val="102E3B"/>
                <w:sz w:val="19"/>
                <w:szCs w:val="19"/>
              </w:rPr>
              <w:t xml:space="preserve">No lo uses</w:t>
            </w:r>
            <w:r>
              <w:rPr>
                <w:rFonts w:ascii="Nunito Sans" w:cs="Nunito Sans" w:eastAsia="Nunito Sans" w:hAnsi="Nunito Sans"/>
                <w:color w:val="102E3B"/>
                <w:sz w:val="19"/>
                <w:szCs w:val="19"/>
              </w:rPr>
              <w:t xml:space="preserve"> cuando solo una de las partes comparta información (un acuerdo unilateral es más sencillo y protege mejor a quien divulga), ni como vía para compartir datos personales de las personas a las que atiendes. Para eso se necesita un Acuerdo de Intercambio de Datos o cláusulas de encargado del tratamiento. Una vez que acordéis trabajar juntos, traslada las cláusulas de confidencialidad al acuerdo principal.</w:t>
            </w:r>
          </w:p>
          <w:p>
            <w:pPr>
              <w:spacing w:after="120" w:before="0" w:line="300"/>
            </w:pPr>
            <w:r>
              <w:rPr>
                <w:rFonts w:ascii="Nunito Sans" w:cs="Nunito Sans" w:eastAsia="Nunito Sans" w:hAnsi="Nunito Sans"/>
                <w:b/>
                <w:bCs/>
                <w:color w:val="102E3B"/>
                <w:sz w:val="19"/>
                <w:szCs w:val="19"/>
              </w:rPr>
              <w:t xml:space="preserve">Conoce sus límites:</w:t>
            </w:r>
            <w:r>
              <w:rPr>
                <w:rFonts w:ascii="Nunito Sans" w:cs="Nunito Sans" w:eastAsia="Nunito Sans" w:hAnsi="Nunito Sans"/>
                <w:color w:val="102E3B"/>
                <w:sz w:val="19"/>
                <w:szCs w:val="19"/>
              </w:rPr>
              <w:t xml:space="preserve"> este acuerdo facilita actuar ante un incumplimiento, pero no puede deshacer una filtración. Comparte solo lo que la otra parte necesita, y comparte tu información más delicada en la fase final de las conversaciones.</w:t>
            </w:r>
          </w:p>
          <w:p>
            <w:pPr>
              <w:spacing w:after="120" w:before="0" w:line="300"/>
            </w:pPr>
            <w:r>
              <w:rPr>
                <w:rFonts w:ascii="Nunito Sans" w:cs="Nunito Sans" w:eastAsia="Nunito Sans" w:hAnsi="Nunito Sans"/>
                <w:b/>
                <w:bCs/>
                <w:color w:val="102E3B"/>
                <w:sz w:val="19"/>
                <w:szCs w:val="19"/>
              </w:rPr>
              <w:t xml:space="preserve">Legislación local:</w:t>
            </w:r>
            <w:r>
              <w:rPr>
                <w:rFonts w:ascii="Nunito Sans" w:cs="Nunito Sans" w:eastAsia="Nunito Sans" w:hAnsi="Nunito Sans"/>
                <w:color w:val="102E3B"/>
                <w:sz w:val="19"/>
                <w:szCs w:val="19"/>
              </w:rPr>
              <w:t xml:space="preserve"> los acuerdos de confidencialidad están reconocidos en la mayoría de los países, pero las vías de reparación y su ejecución varían. Si la información es muy valiosa, como un producto o una tecnología, pide a un abogado o una abogada de </w:t>
            </w:r>
            <w:r>
              <w:rPr>
                <w:rFonts w:ascii="Nunito Sans" w:cs="Nunito Sans" w:eastAsia="Nunito Sans" w:hAnsi="Nunito Sans"/>
                <w:color w:val="102E3B"/>
                <w:sz w:val="19"/>
                <w:szCs w:val="19"/>
                <w:highlight w:val="yellow"/>
              </w:rPr>
              <w:t xml:space="preserve">[país]</w:t>
            </w:r>
            <w:r>
              <w:rPr>
                <w:rFonts w:ascii="Nunito Sans" w:cs="Nunito Sans" w:eastAsia="Nunito Sans" w:hAnsi="Nunito Sans"/>
                <w:color w:val="102E3B"/>
                <w:sz w:val="19"/>
                <w:szCs w:val="19"/>
              </w:rPr>
              <w:t xml:space="preserve"> que revise el acuerdo.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 A</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PARTE B</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[Denominación legal completa]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[Denominación legal completa]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organización benéfica registrada / sociedad]</w:t>
            </w:r>
            <w:r>
              <w:rPr>
                <w:rFonts w:ascii="Nunito Sans" w:cs="Nunito Sans" w:eastAsia="Nunito Sans" w:hAnsi="Nunito Sans"/>
                <w:color w:val="102E3B"/>
                <w:sz w:val="18"/>
                <w:szCs w:val="18"/>
              </w:rPr>
              <w:t xml:space="preserve">, inscrita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fundación / empresa social]</w:t>
            </w:r>
            <w:r>
              <w:rPr>
                <w:rFonts w:ascii="Nunito Sans" w:cs="Nunito Sans" w:eastAsia="Nunito Sans" w:hAnsi="Nunito Sans"/>
                <w:color w:val="102E3B"/>
                <w:sz w:val="18"/>
                <w:szCs w:val="18"/>
              </w:rPr>
              <w:t xml:space="preserve">, inscrita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para este acuerdo: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Contacto para este acuerdo: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w:t>
            </w:r>
          </w:p>
        </w:tc>
      </w:tr>
    </w:tbl>
    <w:p>
      <w:pPr>
        <w:spacing w:after="120"/>
      </w:pPr>
    </w:p>
    <w:p>
      <w:pPr>
        <w:spacing w:after="120" w:before="0" w:line="300"/>
      </w:pPr>
      <w:r>
        <w:rPr>
          <w:rFonts w:ascii="Nunito Sans" w:cs="Nunito Sans" w:eastAsia="Nunito Sans" w:hAnsi="Nunito Sans"/>
          <w:color w:val="102E3B"/>
          <w:sz w:val="20"/>
          <w:szCs w:val="20"/>
        </w:rPr>
        <w:t xml:space="preserve">Cada una es una "parte". La parte que comparte información es la "Parte Divulgadora" y la parte que la recibe es la "Parte Receptora". Cada parte puede ser ambas cosas.</w:t>
      </w: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3"/>
        </w:numPr>
        <w:spacing w:after="80" w:line="290"/>
      </w:pPr>
      <w:r>
        <w:rPr>
          <w:rFonts w:ascii="Nunito Sans" w:cs="Nunito Sans" w:eastAsia="Nunito Sans" w:hAnsi="Nunito Sans"/>
          <w:color w:val="102E3B"/>
          <w:sz w:val="20"/>
          <w:szCs w:val="20"/>
        </w:rPr>
        <w:t xml:space="preserve">Las partes desean </w:t>
      </w:r>
      <w:r>
        <w:rPr>
          <w:rFonts w:ascii="Nunito Sans" w:cs="Nunito Sans" w:eastAsia="Nunito Sans" w:hAnsi="Nunito Sans"/>
          <w:color w:val="102E3B"/>
          <w:sz w:val="20"/>
          <w:szCs w:val="20"/>
          <w:highlight w:val="yellow"/>
        </w:rPr>
        <w:t xml:space="preserve">[p. ej. explorar una alianza para ejecutar un programa de empleo juvenil en X / preparar una solicitud conjunta al financiador Y]</w:t>
      </w:r>
      <w:r>
        <w:rPr>
          <w:rFonts w:ascii="Nunito Sans" w:cs="Nunito Sans" w:eastAsia="Nunito Sans" w:hAnsi="Nunito Sans"/>
          <w:color w:val="102E3B"/>
          <w:sz w:val="20"/>
          <w:szCs w:val="20"/>
        </w:rPr>
        <w:t xml:space="preserve"> (el </w:t>
      </w:r>
      <w:r>
        <w:rPr>
          <w:rFonts w:ascii="Nunito Sans" w:cs="Nunito Sans" w:eastAsia="Nunito Sans" w:hAnsi="Nunito Sans"/>
          <w:b/>
          <w:bCs/>
          <w:color w:val="102E3B"/>
          <w:sz w:val="20"/>
          <w:szCs w:val="20"/>
        </w:rPr>
        <w:t xml:space="preserve">Propósito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Para el Propósito, cada parte prevé compartir información confidencial con la otra. Acuerdan protegerla en los términos siguientes.</w:t>
      </w:r>
    </w:p>
    <w:p>
      <w:pPr>
        <w:pStyle w:val="Heading1"/>
        <w:keepNext/>
        <w:spacing w:after="160" w:before="360"/>
      </w:pPr>
      <w:r>
        <w:rPr>
          <w:rFonts w:ascii="DM Serif Display" w:cs="DM Serif Display" w:eastAsia="DM Serif Display" w:hAnsi="DM Serif Display"/>
          <w:color w:val="123C48"/>
          <w:sz w:val="40"/>
          <w:szCs w:val="40"/>
        </w:rPr>
        <w:t xml:space="preserve">Términos acordados</w:t>
      </w:r>
    </w:p>
    <w:p>
      <w:pPr>
        <w:pStyle w:val="Heading2"/>
        <w:keepNext/>
        <w:spacing w:after="120" w:before="280"/>
      </w:pPr>
      <w:r>
        <w:rPr>
          <w:rFonts w:ascii="DM Serif Display" w:cs="DM Serif Display" w:eastAsia="DM Serif Display" w:hAnsi="DM Serif Display"/>
          <w:color w:val="123C48"/>
          <w:sz w:val="28"/>
          <w:szCs w:val="28"/>
        </w:rPr>
        <w:t xml:space="preserve">1. Definiciones</w:t>
      </w:r>
    </w:p>
    <w:p>
      <w:pPr>
        <w:pStyle w:val="ListParagraph"/>
        <w:numPr>
          <w:ilvl w:val="0"/>
          <w:numId w:val="4"/>
        </w:numPr>
        <w:spacing w:after="80" w:line="290"/>
      </w:pPr>
      <w:r>
        <w:rPr>
          <w:rFonts w:ascii="Nunito Sans" w:cs="Nunito Sans" w:eastAsia="Nunito Sans" w:hAnsi="Nunito Sans"/>
          <w:color w:val="102E3B"/>
          <w:sz w:val="20"/>
          <w:szCs w:val="20"/>
        </w:rPr>
        <w:t xml:space="preserve">En este acuerdo:</w:t>
      </w:r>
    </w:p>
    <w:p>
      <w:pPr>
        <w:pStyle w:val="ListParagraph"/>
        <w:numPr>
          <w:ilvl w:val="1"/>
          <w:numId w:val="4"/>
        </w:numPr>
        <w:spacing w:after="80" w:line="290"/>
      </w:pPr>
      <w:r>
        <w:rPr>
          <w:rFonts w:ascii="Nunito Sans" w:cs="Nunito Sans" w:eastAsia="Nunito Sans" w:hAnsi="Nunito Sans"/>
          <w:b/>
          <w:bCs/>
          <w:color w:val="102E3B"/>
          <w:sz w:val="20"/>
          <w:szCs w:val="20"/>
        </w:rPr>
        <w:t xml:space="preserve">Información Confidencial</w:t>
      </w:r>
      <w:r>
        <w:rPr>
          <w:rFonts w:ascii="Nunito Sans" w:cs="Nunito Sans" w:eastAsia="Nunito Sans" w:hAnsi="Nunito Sans"/>
          <w:color w:val="102E3B"/>
          <w:sz w:val="20"/>
          <w:szCs w:val="20"/>
        </w:rPr>
        <w:t xml:space="preserve"> significa toda la información sobre la Parte Divulgadora, su trabajo, su personal, sus finanzas, sus financiadores, sus socios, sus planes o sus métodos que la Parte Divulgadora, o alguien en su nombre, comparta con la Parte Receptora para el Propósito, en cualquier forma (escrita, electrónica, oral o visual), desde </w:t>
      </w:r>
      <w:r>
        <w:rPr>
          <w:rFonts w:ascii="Nunito Sans" w:cs="Nunito Sans" w:eastAsia="Nunito Sans" w:hAnsi="Nunito Sans"/>
          <w:color w:val="102E3B"/>
          <w:sz w:val="20"/>
          <w:szCs w:val="20"/>
          <w:highlight w:val="yellow"/>
        </w:rPr>
        <w:t xml:space="preserve">[la Fecha de Entrada en Vigor / la fecha de las primeras conversaciones]</w:t>
      </w:r>
      <w:r>
        <w:rPr>
          <w:rFonts w:ascii="Nunito Sans" w:cs="Nunito Sans" w:eastAsia="Nunito Sans" w:hAnsi="Nunito Sans"/>
          <w:color w:val="102E3B"/>
          <w:sz w:val="20"/>
          <w:szCs w:val="20"/>
        </w:rPr>
        <w:t xml:space="preserve">. Incluye la información marcada como confidencial, la que la Parte Divulgadora declare confidencial en el momento de compartirla y la que una persona razonable entendería que es confidencial. También incluye las notas, los análisis y las copias que la Parte Receptora elabore a partir de ella.</w:t>
      </w:r>
    </w:p>
    <w:p>
      <w:pPr>
        <w:pStyle w:val="ListParagraph"/>
        <w:numPr>
          <w:ilvl w:val="1"/>
          <w:numId w:val="4"/>
        </w:numPr>
        <w:spacing w:after="80" w:line="290"/>
      </w:pPr>
      <w:r>
        <w:rPr>
          <w:rFonts w:ascii="Nunito Sans" w:cs="Nunito Sans" w:eastAsia="Nunito Sans" w:hAnsi="Nunito Sans"/>
          <w:b/>
          <w:bCs/>
          <w:color w:val="102E3B"/>
          <w:sz w:val="20"/>
          <w:szCs w:val="20"/>
        </w:rPr>
        <w:t xml:space="preserve">Día Hábil</w:t>
      </w:r>
      <w:r>
        <w:rPr>
          <w:rFonts w:ascii="Nunito Sans" w:cs="Nunito Sans" w:eastAsia="Nunito Sans" w:hAnsi="Nunito Sans"/>
          <w:color w:val="102E3B"/>
          <w:sz w:val="20"/>
          <w:szCs w:val="20"/>
        </w:rPr>
        <w:t xml:space="preserve"> significa cualquier día que no sea fin de semana ni festivo en </w:t>
      </w:r>
      <w:r>
        <w:rPr>
          <w:rFonts w:ascii="Nunito Sans" w:cs="Nunito Sans" w:eastAsia="Nunito Sans" w:hAnsi="Nunito Sans"/>
          <w:color w:val="102E3B"/>
          <w:sz w:val="20"/>
          <w:szCs w:val="20"/>
          <w:highlight w:val="yellow"/>
        </w:rPr>
        <w:t xml:space="preserve">[país o ciudad]</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Fecha de Entrada en Vigor</w:t>
      </w:r>
      <w:r>
        <w:rPr>
          <w:rFonts w:ascii="Nunito Sans" w:cs="Nunito Sans" w:eastAsia="Nunito Sans" w:hAnsi="Nunito Sans"/>
          <w:color w:val="102E3B"/>
          <w:sz w:val="20"/>
          <w:szCs w:val="20"/>
        </w:rPr>
        <w:t xml:space="preserve"> significa </w:t>
      </w:r>
      <w:r>
        <w:rPr>
          <w:rFonts w:ascii="Nunito Sans" w:cs="Nunito Sans" w:eastAsia="Nunito Sans" w:hAnsi="Nunito Sans"/>
          <w:color w:val="102E3B"/>
          <w:sz w:val="20"/>
          <w:szCs w:val="20"/>
          <w:highlight w:val="yellow"/>
        </w:rPr>
        <w:t xml:space="preserve">[la fecha de la última firma que figura a continuación]</w:t>
      </w:r>
      <w:r>
        <w:rPr>
          <w:rFonts w:ascii="Nunito Sans" w:cs="Nunito Sans" w:eastAsia="Nunito Sans" w:hAnsi="Nunito Sans"/>
          <w:color w:val="102E3B"/>
          <w:sz w:val="20"/>
          <w:szCs w:val="20"/>
        </w:rPr>
        <w:t xml:space="preserve">.</w:t>
      </w:r>
    </w:p>
    <w:p>
      <w:pPr>
        <w:pStyle w:val="ListParagraph"/>
        <w:numPr>
          <w:ilvl w:val="1"/>
          <w:numId w:val="4"/>
        </w:numPr>
        <w:spacing w:after="80" w:line="290"/>
      </w:pPr>
      <w:r>
        <w:rPr>
          <w:rFonts w:ascii="Nunito Sans" w:cs="Nunito Sans" w:eastAsia="Nunito Sans" w:hAnsi="Nunito Sans"/>
          <w:b/>
          <w:bCs/>
          <w:color w:val="102E3B"/>
          <w:sz w:val="20"/>
          <w:szCs w:val="20"/>
        </w:rPr>
        <w:t xml:space="preserve">Representantes</w:t>
      </w:r>
      <w:r>
        <w:rPr>
          <w:rFonts w:ascii="Nunito Sans" w:cs="Nunito Sans" w:eastAsia="Nunito Sans" w:hAnsi="Nunito Sans"/>
          <w:color w:val="102E3B"/>
          <w:sz w:val="20"/>
          <w:szCs w:val="20"/>
        </w:rPr>
        <w:t xml:space="preserve"> significa los miembros del órgano de gobierno, el personal, las personas voluntarias, los asesores profesionales (como abogados, contables y auditores) y </w:t>
      </w:r>
      <w:r>
        <w:rPr>
          <w:rFonts w:ascii="Nunito Sans" w:cs="Nunito Sans" w:eastAsia="Nunito Sans" w:hAnsi="Nunito Sans"/>
          <w:color w:val="102E3B"/>
          <w:sz w:val="20"/>
          <w:szCs w:val="20"/>
          <w:highlight w:val="yellow"/>
        </w:rPr>
        <w:t xml:space="preserve">[miembros del consorcio o financiadores identificados]</w:t>
      </w:r>
      <w:r>
        <w:rPr>
          <w:rFonts w:ascii="Nunito Sans" w:cs="Nunito Sans" w:eastAsia="Nunito Sans" w:hAnsi="Nunito Sans"/>
          <w:color w:val="102E3B"/>
          <w:sz w:val="20"/>
          <w:szCs w:val="20"/>
        </w:rPr>
        <w:t xml:space="preserve"> de una parte.</w:t>
      </w:r>
    </w:p>
    <w:p>
      <w:pPr>
        <w:pStyle w:val="ListParagraph"/>
        <w:numPr>
          <w:ilvl w:val="1"/>
          <w:numId w:val="4"/>
        </w:numPr>
        <w:spacing w:after="80" w:line="290"/>
      </w:pPr>
      <w:r>
        <w:rPr>
          <w:rFonts w:ascii="Nunito Sans" w:cs="Nunito Sans" w:eastAsia="Nunito Sans" w:hAnsi="Nunito Sans"/>
          <w:b/>
          <w:bCs/>
          <w:color w:val="102E3B"/>
          <w:sz w:val="20"/>
          <w:szCs w:val="20"/>
        </w:rPr>
        <w:t xml:space="preserve">Datos Personales</w:t>
      </w:r>
      <w:r>
        <w:rPr>
          <w:rFonts w:ascii="Nunito Sans" w:cs="Nunito Sans" w:eastAsia="Nunito Sans" w:hAnsi="Nunito Sans"/>
          <w:color w:val="102E3B"/>
          <w:sz w:val="20"/>
          <w:szCs w:val="20"/>
        </w:rPr>
        <w:t xml:space="preserve"> significa la información sobre una persona viva identificada o identificable.</w:t>
      </w:r>
    </w:p>
    <w:p>
      <w:pPr>
        <w:pStyle w:val="ListParagraph"/>
        <w:numPr>
          <w:ilvl w:val="0"/>
          <w:numId w:val="4"/>
        </w:numPr>
        <w:spacing w:after="80" w:line="290"/>
      </w:pPr>
      <w:r>
        <w:rPr>
          <w:rFonts w:ascii="Nunito Sans" w:cs="Nunito Sans" w:eastAsia="Nunito Sans" w:hAnsi="Nunito Sans"/>
          <w:color w:val="102E3B"/>
          <w:sz w:val="20"/>
          <w:szCs w:val="20"/>
        </w:rPr>
        <w:t xml:space="preserve">"Incluido" significa incluido sin carácter limitativo. "Por escrito" incluye el correo electrónico.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QUÉ SE CONSIDERA CONFIDENCIAL</w:t>
            </w:r>
          </w:p>
          <w:p>
            <w:pPr>
              <w:spacing w:after="120" w:before="0" w:line="300"/>
            </w:pPr>
            <w:r>
              <w:rPr>
                <w:rFonts w:ascii="Nunito Sans" w:cs="Nunito Sans" w:eastAsia="Nunito Sans" w:hAnsi="Nunito Sans"/>
                <w:color w:val="102E3B"/>
                <w:sz w:val="19"/>
                <w:szCs w:val="19"/>
              </w:rPr>
              <w:t xml:space="preserve">La definición es amplia, lo que conviene en conversaciones iniciales en las que mucho se dice en reuniones. Si prefieres un acuerdo más restringido, puedes exigir que la información oral se confirme por escrito como confidencial en un plazo de </w:t>
            </w:r>
            <w:r>
              <w:rPr>
                <w:rFonts w:ascii="Nunito Sans" w:cs="Nunito Sans" w:eastAsia="Nunito Sans" w:hAnsi="Nunito Sans"/>
                <w:color w:val="102E3B"/>
                <w:sz w:val="19"/>
                <w:szCs w:val="19"/>
                <w:highlight w:val="yellow"/>
              </w:rPr>
              <w:t xml:space="preserve">[10]</w:t>
            </w:r>
            <w:r>
              <w:rPr>
                <w:rFonts w:ascii="Nunito Sans" w:cs="Nunito Sans" w:eastAsia="Nunito Sans" w:hAnsi="Nunito Sans"/>
                <w:color w:val="102E3B"/>
                <w:sz w:val="19"/>
                <w:szCs w:val="19"/>
              </w:rPr>
              <w:t xml:space="preserve"> Días Hábiles. Eso da más certeza, pero es fácil olvidarlo.</w:t>
            </w:r>
          </w:p>
          <w:p>
            <w:pPr>
              <w:spacing w:after="120" w:before="0" w:line="300"/>
            </w:pPr>
            <w:r>
              <w:rPr>
                <w:rFonts w:ascii="Nunito Sans" w:cs="Nunito Sans" w:eastAsia="Nunito Sans" w:hAnsi="Nunito Sans"/>
                <w:color w:val="102E3B"/>
                <w:sz w:val="19"/>
                <w:szCs w:val="19"/>
              </w:rPr>
              <w:t xml:space="preserve">Decide si el propio hecho de estar en conversaciones es confidencial. Esto importa en fusiones o alianzas delicadas. Si es así, añade: "La existencia y el contenido de las conversaciones entre las partes son Información Confidencial de ambas partes".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Qué no está cubierto</w:t>
      </w:r>
    </w:p>
    <w:p>
      <w:pPr>
        <w:pStyle w:val="ListParagraph"/>
        <w:numPr>
          <w:ilvl w:val="0"/>
          <w:numId w:val="5"/>
        </w:numPr>
        <w:spacing w:after="80" w:line="290"/>
      </w:pPr>
      <w:r>
        <w:rPr>
          <w:rFonts w:ascii="Nunito Sans" w:cs="Nunito Sans" w:eastAsia="Nunito Sans" w:hAnsi="Nunito Sans"/>
          <w:color w:val="102E3B"/>
          <w:sz w:val="20"/>
          <w:szCs w:val="20"/>
        </w:rPr>
        <w:t xml:space="preserve">La información no es Información Confidencial en la medida en que la Parte Receptora pueda demostrar que:</w:t>
      </w:r>
    </w:p>
    <w:p>
      <w:pPr>
        <w:pStyle w:val="ListParagraph"/>
        <w:numPr>
          <w:ilvl w:val="1"/>
          <w:numId w:val="5"/>
        </w:numPr>
        <w:spacing w:after="80" w:line="290"/>
      </w:pPr>
      <w:r>
        <w:rPr>
          <w:rFonts w:ascii="Nunito Sans" w:cs="Nunito Sans" w:eastAsia="Nunito Sans" w:hAnsi="Nunito Sans"/>
          <w:color w:val="102E3B"/>
          <w:sz w:val="20"/>
          <w:szCs w:val="20"/>
        </w:rPr>
        <w:t xml:space="preserve">es o pasa a ser pública por un motivo distinto del incumplimiento de este acuerdo;</w:t>
      </w:r>
    </w:p>
    <w:p>
      <w:pPr>
        <w:pStyle w:val="ListParagraph"/>
        <w:numPr>
          <w:ilvl w:val="1"/>
          <w:numId w:val="5"/>
        </w:numPr>
        <w:spacing w:after="80" w:line="290"/>
      </w:pPr>
      <w:r>
        <w:rPr>
          <w:rFonts w:ascii="Nunito Sans" w:cs="Nunito Sans" w:eastAsia="Nunito Sans" w:hAnsi="Nunito Sans"/>
          <w:color w:val="102E3B"/>
          <w:sz w:val="20"/>
          <w:szCs w:val="20"/>
        </w:rPr>
        <w:t xml:space="preserve">la Parte Receptora la poseía lícitamente, sin ningún deber de confidencialidad, antes de que la Parte Divulgadora la compartiera;</w:t>
      </w:r>
    </w:p>
    <w:p>
      <w:pPr>
        <w:pStyle w:val="ListParagraph"/>
        <w:numPr>
          <w:ilvl w:val="1"/>
          <w:numId w:val="5"/>
        </w:numPr>
        <w:spacing w:after="80" w:line="290"/>
      </w:pPr>
      <w:r>
        <w:rPr>
          <w:rFonts w:ascii="Nunito Sans" w:cs="Nunito Sans" w:eastAsia="Nunito Sans" w:hAnsi="Nunito Sans"/>
          <w:color w:val="102E3B"/>
          <w:sz w:val="20"/>
          <w:szCs w:val="20"/>
        </w:rPr>
        <w:t xml:space="preserve">la recibe lícitamente de otra persona que puede compartirla libremente; o</w:t>
      </w:r>
    </w:p>
    <w:p>
      <w:pPr>
        <w:pStyle w:val="ListParagraph"/>
        <w:numPr>
          <w:ilvl w:val="1"/>
          <w:numId w:val="5"/>
        </w:numPr>
        <w:spacing w:after="80" w:line="290"/>
      </w:pPr>
      <w:r>
        <w:rPr>
          <w:rFonts w:ascii="Nunito Sans" w:cs="Nunito Sans" w:eastAsia="Nunito Sans" w:hAnsi="Nunito Sans"/>
          <w:color w:val="102E3B"/>
          <w:sz w:val="20"/>
          <w:szCs w:val="20"/>
        </w:rPr>
        <w:t xml:space="preserve">la ha desarrollado de forma independiente la Parte Receptora, sin usar la Información Confidencial.</w:t>
      </w:r>
    </w:p>
    <w:p>
      <w:pPr>
        <w:pStyle w:val="ListParagraph"/>
        <w:numPr>
          <w:ilvl w:val="0"/>
          <w:numId w:val="5"/>
        </w:numPr>
        <w:spacing w:after="80" w:line="290"/>
      </w:pPr>
      <w:r>
        <w:rPr>
          <w:rFonts w:ascii="Nunito Sans" w:cs="Nunito Sans" w:eastAsia="Nunito Sans" w:hAnsi="Nunito Sans"/>
          <w:color w:val="102E3B"/>
          <w:sz w:val="20"/>
          <w:szCs w:val="20"/>
        </w:rPr>
        <w:t xml:space="preserve">La información no se vuelve pública solo porque algunas de sus partes sean públicas, ni porque pueda reconstruirse a partir de fuentes públicas.</w:t>
      </w:r>
    </w:p>
    <w:p>
      <w:pPr>
        <w:pStyle w:val="Heading2"/>
        <w:keepNext/>
        <w:spacing w:after="120" w:before="280"/>
      </w:pPr>
      <w:r>
        <w:rPr>
          <w:rFonts w:ascii="DM Serif Display" w:cs="DM Serif Display" w:eastAsia="DM Serif Display" w:hAnsi="DM Serif Display"/>
          <w:color w:val="123C48"/>
          <w:sz w:val="28"/>
          <w:szCs w:val="28"/>
        </w:rPr>
        <w:t xml:space="preserve">3. Cómo tratará la información la Parte Receptora</w:t>
      </w:r>
    </w:p>
    <w:p>
      <w:pPr>
        <w:pStyle w:val="ListParagraph"/>
        <w:numPr>
          <w:ilvl w:val="0"/>
          <w:numId w:val="6"/>
        </w:numPr>
        <w:spacing w:after="80" w:line="290"/>
      </w:pPr>
      <w:r>
        <w:rPr>
          <w:rFonts w:ascii="Nunito Sans" w:cs="Nunito Sans" w:eastAsia="Nunito Sans" w:hAnsi="Nunito Sans"/>
          <w:color w:val="102E3B"/>
          <w:sz w:val="20"/>
          <w:szCs w:val="20"/>
        </w:rPr>
        <w:t xml:space="preserve">La Parte Receptora:</w:t>
      </w:r>
    </w:p>
    <w:p>
      <w:pPr>
        <w:pStyle w:val="ListParagraph"/>
        <w:numPr>
          <w:ilvl w:val="1"/>
          <w:numId w:val="6"/>
        </w:numPr>
        <w:spacing w:after="80" w:line="290"/>
      </w:pPr>
      <w:r>
        <w:rPr>
          <w:rFonts w:ascii="Nunito Sans" w:cs="Nunito Sans" w:eastAsia="Nunito Sans" w:hAnsi="Nunito Sans"/>
          <w:color w:val="102E3B"/>
          <w:sz w:val="20"/>
          <w:szCs w:val="20"/>
        </w:rPr>
        <w:t xml:space="preserve">mantendrá la confidencialidad de la Información Confidencial;</w:t>
      </w:r>
    </w:p>
    <w:p>
      <w:pPr>
        <w:pStyle w:val="ListParagraph"/>
        <w:numPr>
          <w:ilvl w:val="1"/>
          <w:numId w:val="6"/>
        </w:numPr>
        <w:spacing w:after="80" w:line="290"/>
      </w:pPr>
      <w:r>
        <w:rPr>
          <w:rFonts w:ascii="Nunito Sans" w:cs="Nunito Sans" w:eastAsia="Nunito Sans" w:hAnsi="Nunito Sans"/>
          <w:color w:val="102E3B"/>
          <w:sz w:val="20"/>
          <w:szCs w:val="20"/>
        </w:rPr>
        <w:t xml:space="preserve">la usará solo para el Propósito;</w:t>
      </w:r>
    </w:p>
    <w:p>
      <w:pPr>
        <w:pStyle w:val="ListParagraph"/>
        <w:numPr>
          <w:ilvl w:val="1"/>
          <w:numId w:val="6"/>
        </w:numPr>
        <w:spacing w:after="80" w:line="290"/>
      </w:pPr>
      <w:r>
        <w:rPr>
          <w:rFonts w:ascii="Nunito Sans" w:cs="Nunito Sans" w:eastAsia="Nunito Sans" w:hAnsi="Nunito Sans"/>
          <w:color w:val="102E3B"/>
          <w:sz w:val="20"/>
          <w:szCs w:val="20"/>
        </w:rPr>
        <w:t xml:space="preserve">la compartirá solo en la medida en que lo permita la cláusula 4;</w:t>
      </w:r>
    </w:p>
    <w:p>
      <w:pPr>
        <w:pStyle w:val="ListParagraph"/>
        <w:numPr>
          <w:ilvl w:val="1"/>
          <w:numId w:val="6"/>
        </w:numPr>
        <w:spacing w:after="80" w:line="290"/>
      </w:pPr>
      <w:r>
        <w:rPr>
          <w:rFonts w:ascii="Nunito Sans" w:cs="Nunito Sans" w:eastAsia="Nunito Sans" w:hAnsi="Nunito Sans"/>
          <w:color w:val="102E3B"/>
          <w:sz w:val="20"/>
          <w:szCs w:val="20"/>
        </w:rPr>
        <w:t xml:space="preserve">la copiará solo en la medida en que lo requiera el Propósito; y</w:t>
      </w:r>
    </w:p>
    <w:p>
      <w:pPr>
        <w:pStyle w:val="ListParagraph"/>
        <w:numPr>
          <w:ilvl w:val="1"/>
          <w:numId w:val="6"/>
        </w:numPr>
        <w:spacing w:after="80" w:line="290"/>
      </w:pPr>
      <w:r>
        <w:rPr>
          <w:rFonts w:ascii="Nunito Sans" w:cs="Nunito Sans" w:eastAsia="Nunito Sans" w:hAnsi="Nunito Sans"/>
          <w:color w:val="102E3B"/>
          <w:sz w:val="20"/>
          <w:szCs w:val="20"/>
        </w:rPr>
        <w:t xml:space="preserve">informará por escrito a la Parte Divulgadora en cuanto tenga conocimiento de cualquier pérdida de la Información Confidencial o acceso no autorizado a ella, y ayudará a limitar el daño.</w:t>
      </w:r>
    </w:p>
    <w:p>
      <w:pPr>
        <w:pStyle w:val="ListParagraph"/>
        <w:numPr>
          <w:ilvl w:val="0"/>
          <w:numId w:val="6"/>
        </w:numPr>
        <w:spacing w:after="80" w:line="290"/>
      </w:pPr>
      <w:r>
        <w:rPr>
          <w:rFonts w:ascii="Nunito Sans" w:cs="Nunito Sans" w:eastAsia="Nunito Sans" w:hAnsi="Nunito Sans"/>
          <w:color w:val="102E3B"/>
          <w:sz w:val="20"/>
          <w:szCs w:val="20"/>
        </w:rPr>
        <w:t xml:space="preserve">La Parte Receptora no usará la Información Confidencial para competir de forma desleal con la Parte Divulgadora, para dirigirse a los financiadores, socios o personal de la Parte Divulgadora de un modo que se apoye en ella, ni para hacer ninguna declaración pública.</w:t>
      </w:r>
    </w:p>
    <w:p>
      <w:pPr>
        <w:pStyle w:val="Heading2"/>
        <w:keepNext/>
        <w:spacing w:after="120" w:before="280"/>
      </w:pPr>
      <w:r>
        <w:rPr>
          <w:rFonts w:ascii="DM Serif Display" w:cs="DM Serif Display" w:eastAsia="DM Serif Display" w:hAnsi="DM Serif Display"/>
          <w:color w:val="123C48"/>
          <w:sz w:val="28"/>
          <w:szCs w:val="28"/>
        </w:rPr>
        <w:t xml:space="preserve">4. Compartir con Representantes</w:t>
      </w:r>
    </w:p>
    <w:p>
      <w:pPr>
        <w:pStyle w:val="ListParagraph"/>
        <w:numPr>
          <w:ilvl w:val="0"/>
          <w:numId w:val="7"/>
        </w:numPr>
        <w:spacing w:after="80" w:line="290"/>
      </w:pPr>
      <w:r>
        <w:rPr>
          <w:rFonts w:ascii="Nunito Sans" w:cs="Nunito Sans" w:eastAsia="Nunito Sans" w:hAnsi="Nunito Sans"/>
          <w:color w:val="102E3B"/>
          <w:sz w:val="20"/>
          <w:szCs w:val="20"/>
        </w:rPr>
        <w:t xml:space="preserve">La Parte Receptora podrá compartir la Información Confidencial con sus Representantes que la necesiten para el Propósito.</w:t>
      </w:r>
    </w:p>
    <w:p>
      <w:pPr>
        <w:pStyle w:val="ListParagraph"/>
        <w:numPr>
          <w:ilvl w:val="0"/>
          <w:numId w:val="7"/>
        </w:numPr>
        <w:spacing w:after="80" w:line="290"/>
      </w:pPr>
      <w:r>
        <w:rPr>
          <w:rFonts w:ascii="Nunito Sans" w:cs="Nunito Sans" w:eastAsia="Nunito Sans" w:hAnsi="Nunito Sans"/>
          <w:color w:val="102E3B"/>
          <w:sz w:val="20"/>
          <w:szCs w:val="20"/>
        </w:rPr>
        <w:t xml:space="preserve">Antes de hacerlo, la Parte Receptora les informará de que la información es confidencial y se asegurará de que estén sujetos a deberes de confidencialidad al menos tan estrictos como los de este acuerdo, mediante su contrato, un deber profesional o un compromiso por escrito.</w:t>
      </w:r>
    </w:p>
    <w:p>
      <w:pPr>
        <w:pStyle w:val="ListParagraph"/>
        <w:numPr>
          <w:ilvl w:val="0"/>
          <w:numId w:val="7"/>
        </w:numPr>
        <w:spacing w:after="80" w:line="290"/>
      </w:pPr>
      <w:r>
        <w:rPr>
          <w:rFonts w:ascii="Nunito Sans" w:cs="Nunito Sans" w:eastAsia="Nunito Sans" w:hAnsi="Nunito Sans"/>
          <w:color w:val="102E3B"/>
          <w:sz w:val="20"/>
          <w:szCs w:val="20"/>
        </w:rPr>
        <w:t xml:space="preserve">La Parte Receptora es responsable de cualquier incumplimiento de este acuerdo por parte de sus Representantes.</w:t>
      </w:r>
    </w:p>
    <w:p>
      <w:pPr>
        <w:pStyle w:val="ListParagraph"/>
        <w:numPr>
          <w:ilvl w:val="0"/>
          <w:numId w:val="7"/>
        </w:numPr>
        <w:spacing w:after="80" w:line="290"/>
      </w:pPr>
      <w:r>
        <w:rPr>
          <w:rFonts w:ascii="Nunito Sans" w:cs="Nunito Sans" w:eastAsia="Nunito Sans" w:hAnsi="Nunito Sans"/>
          <w:color w:val="102E3B"/>
          <w:sz w:val="20"/>
          <w:szCs w:val="20"/>
        </w:rPr>
        <w:t xml:space="preserve">La Parte Receptora no compartirá la Información Confidencial con nadie más, incluidos financiadores, miembros de consorcios o medios de comunicación, sin el consentimiento previo y por escrito de la Parte Divulgadora.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PUEDE VER LA INFORMACIÓN</w:t>
            </w:r>
          </w:p>
          <w:p>
            <w:pPr>
              <w:spacing w:after="120" w:before="0" w:line="300"/>
            </w:pPr>
            <w:r>
              <w:rPr>
                <w:rFonts w:ascii="Nunito Sans" w:cs="Nunito Sans" w:eastAsia="Nunito Sans" w:hAnsi="Nunito Sans"/>
                <w:color w:val="102E3B"/>
                <w:sz w:val="19"/>
                <w:szCs w:val="19"/>
              </w:rPr>
              <w:t xml:space="preserve">Mantén breve la lista de Representantes. Si una propuesta conjunta implica a otros miembros del consorcio, o si un financiador necesita ver la información antes de decidir, nómbralos en la cláusula 1.1(d) o pídeles que firmen este acuerdo como partes adicionales. Algunas organizaciones también limitan el acceso a un equipo concreto: en ese caso, añade una lista en un anexo breve.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Divulgación exigida por la ley</w:t>
      </w:r>
    </w:p>
    <w:p>
      <w:pPr>
        <w:pStyle w:val="ListParagraph"/>
        <w:numPr>
          <w:ilvl w:val="0"/>
          <w:numId w:val="8"/>
        </w:numPr>
        <w:spacing w:after="80" w:line="290"/>
      </w:pPr>
      <w:r>
        <w:rPr>
          <w:rFonts w:ascii="Nunito Sans" w:cs="Nunito Sans" w:eastAsia="Nunito Sans" w:hAnsi="Nunito Sans"/>
          <w:color w:val="102E3B"/>
          <w:sz w:val="20"/>
          <w:szCs w:val="20"/>
        </w:rPr>
        <w:t xml:space="preserve">La Parte Receptora podrá divulgar Información Confidencial si así lo exige la ley, un tribunal, un organismo regulador u otra autoridad con facultades legales.</w:t>
      </w:r>
    </w:p>
    <w:p>
      <w:pPr>
        <w:pStyle w:val="ListParagraph"/>
        <w:numPr>
          <w:ilvl w:val="0"/>
          <w:numId w:val="8"/>
        </w:numPr>
        <w:spacing w:after="80" w:line="290"/>
      </w:pPr>
      <w:r>
        <w:rPr>
          <w:rFonts w:ascii="Nunito Sans" w:cs="Nunito Sans" w:eastAsia="Nunito Sans" w:hAnsi="Nunito Sans"/>
          <w:color w:val="102E3B"/>
          <w:sz w:val="20"/>
          <w:szCs w:val="20"/>
        </w:rPr>
        <w:t xml:space="preserve">Cuando la ley lo permita, la Parte Receptora informará con prontitud a la Parte Divulgadora antes de divulgarla, para que esta pueda solicitar protección, como una orden de confidencialidad, a su propio costo. La Parte Receptora cooperará de forma razonable y divulgará solo lo exigido.</w:t>
      </w:r>
    </w:p>
    <w:p>
      <w:pPr>
        <w:pStyle w:val="ListParagraph"/>
        <w:numPr>
          <w:ilvl w:val="0"/>
          <w:numId w:val="8"/>
        </w:numPr>
        <w:spacing w:after="80" w:line="290"/>
      </w:pPr>
      <w:r>
        <w:rPr>
          <w:rFonts w:ascii="Nunito Sans" w:cs="Nunito Sans" w:eastAsia="Nunito Sans" w:hAnsi="Nunito Sans"/>
          <w:color w:val="102E3B"/>
          <w:sz w:val="20"/>
          <w:szCs w:val="20"/>
        </w:rPr>
        <w:t xml:space="preserve">Nada de lo dispuesto en este acuerdo impide a ninguna de las partes, ni a ninguno de sus Representantes, denunciar presuntas irregularidades (como fraude, abuso o un peligro para la salud o la seguridad) ante un organismo regulador, la policía u otra autoridad, ni realizar cualquier divulgación protegida por la ley.</w:t>
      </w:r>
    </w:p>
    <w:p>
      <w:pPr>
        <w:pStyle w:val="Heading2"/>
        <w:keepNext/>
        <w:spacing w:after="120" w:before="280"/>
      </w:pPr>
      <w:r>
        <w:rPr>
          <w:rFonts w:ascii="DM Serif Display" w:cs="DM Serif Display" w:eastAsia="DM Serif Display" w:hAnsi="DM Serif Display"/>
          <w:color w:val="123C48"/>
          <w:sz w:val="28"/>
          <w:szCs w:val="28"/>
        </w:rPr>
        <w:t xml:space="preserve">6. Seguridad</w:t>
      </w:r>
    </w:p>
    <w:p>
      <w:pPr>
        <w:pStyle w:val="ListParagraph"/>
        <w:numPr>
          <w:ilvl w:val="0"/>
          <w:numId w:val="9"/>
        </w:numPr>
        <w:spacing w:after="80" w:line="290"/>
      </w:pPr>
      <w:r>
        <w:rPr>
          <w:rFonts w:ascii="Nunito Sans" w:cs="Nunito Sans" w:eastAsia="Nunito Sans" w:hAnsi="Nunito Sans"/>
          <w:color w:val="102E3B"/>
          <w:sz w:val="20"/>
          <w:szCs w:val="20"/>
        </w:rPr>
        <w:t xml:space="preserve">La Parte Receptora protegerá la Información Confidencial con al menos el mismo cuidado que aplica a su propia información confidencial, y nunca con menos de un cuidado razonable.</w:t>
      </w:r>
    </w:p>
    <w:p>
      <w:pPr>
        <w:pStyle w:val="ListParagraph"/>
        <w:numPr>
          <w:ilvl w:val="0"/>
          <w:numId w:val="9"/>
        </w:numPr>
        <w:spacing w:after="80" w:line="290"/>
      </w:pPr>
      <w:r>
        <w:rPr>
          <w:rFonts w:ascii="Nunito Sans" w:cs="Nunito Sans" w:eastAsia="Nunito Sans" w:hAnsi="Nunito Sans"/>
          <w:color w:val="102E3B"/>
          <w:sz w:val="20"/>
          <w:szCs w:val="20"/>
        </w:rPr>
        <w:t xml:space="preserve">En particular:</w:t>
      </w:r>
    </w:p>
    <w:p>
      <w:pPr>
        <w:pStyle w:val="ListParagraph"/>
        <w:numPr>
          <w:ilvl w:val="1"/>
          <w:numId w:val="9"/>
        </w:numPr>
        <w:spacing w:after="80" w:line="290"/>
      </w:pPr>
      <w:r>
        <w:rPr>
          <w:rFonts w:ascii="Nunito Sans" w:cs="Nunito Sans" w:eastAsia="Nunito Sans" w:hAnsi="Nunito Sans"/>
          <w:color w:val="102E3B"/>
          <w:sz w:val="20"/>
          <w:szCs w:val="20"/>
        </w:rPr>
        <w:t xml:space="preserve">la almacenará solo en sistemas que controle la Parte Receptora y que estén protegidos con contraseñas y, en el caso de la información delicada, con autenticación multifactor o cifrado;</w:t>
      </w:r>
    </w:p>
    <w:p>
      <w:pPr>
        <w:pStyle w:val="ListParagraph"/>
        <w:numPr>
          <w:ilvl w:val="1"/>
          <w:numId w:val="9"/>
        </w:numPr>
        <w:spacing w:after="80" w:line="290"/>
      </w:pPr>
      <w:r>
        <w:rPr>
          <w:rFonts w:ascii="Nunito Sans" w:cs="Nunito Sans" w:eastAsia="Nunito Sans" w:hAnsi="Nunito Sans"/>
          <w:color w:val="102E3B"/>
          <w:sz w:val="20"/>
          <w:szCs w:val="20"/>
        </w:rPr>
        <w:t xml:space="preserve">limitará el acceso a las personas autorizadas conforme a la cláusula 4;</w:t>
      </w:r>
    </w:p>
    <w:p>
      <w:pPr>
        <w:pStyle w:val="ListParagraph"/>
        <w:numPr>
          <w:ilvl w:val="1"/>
          <w:numId w:val="9"/>
        </w:numPr>
        <w:spacing w:after="80" w:line="290"/>
      </w:pPr>
      <w:r>
        <w:rPr>
          <w:rFonts w:ascii="Nunito Sans" w:cs="Nunito Sans" w:eastAsia="Nunito Sans" w:hAnsi="Nunito Sans"/>
          <w:color w:val="102E3B"/>
          <w:sz w:val="20"/>
          <w:szCs w:val="20"/>
        </w:rPr>
        <w:t xml:space="preserve">no la guardará en cuentas personales de correo electrónico o de mensajería; y</w:t>
      </w:r>
    </w:p>
    <w:p>
      <w:pPr>
        <w:pStyle w:val="ListParagraph"/>
        <w:numPr>
          <w:ilvl w:val="1"/>
          <w:numId w:val="9"/>
        </w:numPr>
        <w:spacing w:after="80" w:line="290"/>
      </w:pPr>
      <w:r>
        <w:rPr>
          <w:rFonts w:ascii="Nunito Sans" w:cs="Nunito Sans" w:eastAsia="Nunito Sans" w:hAnsi="Nunito Sans"/>
          <w:color w:val="102E3B"/>
          <w:sz w:val="20"/>
          <w:szCs w:val="20"/>
        </w:rPr>
        <w:t xml:space="preserve">no la introducirá en herramientas de inteligencia artificial (IA) ni en otros servicios en línea que puedan conservarla o reutilizarla, salvo que la Parte Divulgadora lo acepte por escrito.</w:t>
      </w:r>
    </w:p>
    <w:p>
      <w:pPr>
        <w:pStyle w:val="Heading2"/>
        <w:keepNext/>
        <w:spacing w:after="120" w:before="280"/>
      </w:pPr>
      <w:r>
        <w:rPr>
          <w:rFonts w:ascii="DM Serif Display" w:cs="DM Serif Display" w:eastAsia="DM Serif Display" w:hAnsi="DM Serif Display"/>
          <w:color w:val="123C48"/>
          <w:sz w:val="28"/>
          <w:szCs w:val="28"/>
        </w:rPr>
        <w:t xml:space="preserve">7. Datos personales</w:t>
      </w:r>
    </w:p>
    <w:p>
      <w:pPr>
        <w:pStyle w:val="ListParagraph"/>
        <w:numPr>
          <w:ilvl w:val="0"/>
          <w:numId w:val="10"/>
        </w:numPr>
        <w:spacing w:after="80" w:line="290"/>
      </w:pPr>
      <w:r>
        <w:rPr>
          <w:rFonts w:ascii="Nunito Sans" w:cs="Nunito Sans" w:eastAsia="Nunito Sans" w:hAnsi="Nunito Sans"/>
          <w:color w:val="102E3B"/>
          <w:sz w:val="20"/>
          <w:szCs w:val="20"/>
        </w:rPr>
        <w:t xml:space="preserve">Las partes no compartirán Datos Personales en virtud de este acuerdo, salvo los datos de contacto profesionales de las personas que participen en las conversaciones.</w:t>
      </w:r>
    </w:p>
    <w:p>
      <w:pPr>
        <w:pStyle w:val="ListParagraph"/>
        <w:numPr>
          <w:ilvl w:val="0"/>
          <w:numId w:val="10"/>
        </w:numPr>
        <w:spacing w:after="80" w:line="290"/>
      </w:pPr>
      <w:r>
        <w:rPr>
          <w:rFonts w:ascii="Nunito Sans" w:cs="Nunito Sans" w:eastAsia="Nunito Sans" w:hAnsi="Nunito Sans"/>
          <w:color w:val="102E3B"/>
          <w:sz w:val="20"/>
          <w:szCs w:val="20"/>
        </w:rPr>
        <w:t xml:space="preserve">Si alguna de las partes necesita compartir otros Datos Personales, en especial sobre las personas a las que atiende, las partes firmarán antes un Acuerdo de Intercambio de Datos o cláusulas de encargado del tratamiento que cumplan la legislación de protección de datos. Compartirán datos anonimizados siempre que sea posible.</w:t>
      </w:r>
    </w:p>
    <w:p>
      <w:pPr>
        <w:pStyle w:val="ListParagraph"/>
        <w:numPr>
          <w:ilvl w:val="0"/>
          <w:numId w:val="10"/>
        </w:numPr>
        <w:spacing w:after="80" w:line="290"/>
      </w:pPr>
      <w:r>
        <w:rPr>
          <w:rFonts w:ascii="Nunito Sans" w:cs="Nunito Sans" w:eastAsia="Nunito Sans" w:hAnsi="Nunito Sans"/>
          <w:color w:val="102E3B"/>
          <w:sz w:val="20"/>
          <w:szCs w:val="20"/>
        </w:rPr>
        <w:t xml:space="preserve">Cada parte cumplirá la legislación de protección de datos que le sea aplicable, incluida </w:t>
      </w:r>
      <w:r>
        <w:rPr>
          <w:rFonts w:ascii="Nunito Sans" w:cs="Nunito Sans" w:eastAsia="Nunito Sans" w:hAnsi="Nunito Sans"/>
          <w:color w:val="102E3B"/>
          <w:sz w:val="20"/>
          <w:szCs w:val="20"/>
          <w:highlight w:val="yellow"/>
        </w:rPr>
        <w:t xml:space="preserve">[p. ej. la Nigeria Data Protection Act 2023 / el RGPD de la UE o del Reino Unido]</w:t>
      </w:r>
      <w:r>
        <w:rPr>
          <w:rFonts w:ascii="Nunito Sans" w:cs="Nunito Sans" w:eastAsia="Nunito Sans" w:hAnsi="Nunito Sans"/>
          <w:color w:val="102E3B"/>
          <w:sz w:val="20"/>
          <w:szCs w:val="20"/>
        </w:rPr>
        <w:t xml:space="preserve">. Si se comparten Datos Personales por error, la Parte Receptora informará a la Parte Divulgadora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y los eliminará, salvo que la Parte Divulgadora le pida otra cosa.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DATOS PERSONALES</w:t>
            </w:r>
          </w:p>
          <w:p>
            <w:pPr>
              <w:spacing w:after="120" w:before="0" w:line="300"/>
            </w:pPr>
            <w:r>
              <w:rPr>
                <w:rFonts w:ascii="Nunito Sans" w:cs="Nunito Sans" w:eastAsia="Nunito Sans" w:hAnsi="Nunito Sans"/>
                <w:color w:val="102E3B"/>
                <w:sz w:val="19"/>
                <w:szCs w:val="19"/>
              </w:rPr>
              <w:t xml:space="preserve">La mayoría de las conversaciones iniciales no necesitan ningún dato personal. Usa resúmenes y cifras anonimizadas, por ejemplo "212 participantes, 64 % mujeres", en lugar de listas o expedientes. Si una parte debe ver datos personales para evaluar una alianza, como durante la debida diligencia sobre los registros de salvaguarda, pide asesoramiento antes y deja constancia de la decisión en una Evaluación de Impacto en la Protección de Datos cuando tu ley la exija. Consulta tu legislación local de protección de datos.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Titularidad, ausencia de licencia y ausencia de garantía</w:t>
      </w:r>
    </w:p>
    <w:p>
      <w:pPr>
        <w:pStyle w:val="ListParagraph"/>
        <w:numPr>
          <w:ilvl w:val="0"/>
          <w:numId w:val="11"/>
        </w:numPr>
        <w:spacing w:after="80" w:line="290"/>
      </w:pPr>
      <w:r>
        <w:rPr>
          <w:rFonts w:ascii="Nunito Sans" w:cs="Nunito Sans" w:eastAsia="Nunito Sans" w:hAnsi="Nunito Sans"/>
          <w:color w:val="102E3B"/>
          <w:sz w:val="20"/>
          <w:szCs w:val="20"/>
        </w:rPr>
        <w:t xml:space="preserve">Toda la Información Confidencial sigue siendo propiedad de la Parte Divulgadora. Compartirla no otorga a la Parte Receptora ninguna licencia ni ningún otro derecho sobre ella, ni sobre ningún Derecho de Propiedad Intelectual (como derechos de autor o marcas), salvo el de usarla para el Propósito.</w:t>
      </w:r>
    </w:p>
    <w:p>
      <w:pPr>
        <w:pStyle w:val="ListParagraph"/>
        <w:numPr>
          <w:ilvl w:val="0"/>
          <w:numId w:val="11"/>
        </w:numPr>
        <w:spacing w:after="80" w:line="290"/>
      </w:pPr>
      <w:r>
        <w:rPr>
          <w:rFonts w:ascii="Nunito Sans" w:cs="Nunito Sans" w:eastAsia="Nunito Sans" w:hAnsi="Nunito Sans"/>
          <w:color w:val="102E3B"/>
          <w:sz w:val="20"/>
          <w:szCs w:val="20"/>
        </w:rPr>
        <w:t xml:space="preserve">La Parte Divulgadora comparte la Información Confidencial de buena fe, pero no garantiza que sea completa ni exacta, salvo lo que se acuerde en un acuerdo posterior. La Parte Divulgadora no es responsable del uso que haga de ella la Parte Receptora.</w:t>
      </w:r>
    </w:p>
    <w:p>
      <w:pPr>
        <w:pStyle w:val="Heading2"/>
        <w:keepNext/>
        <w:spacing w:after="120" w:before="280"/>
      </w:pPr>
      <w:r>
        <w:rPr>
          <w:rFonts w:ascii="DM Serif Display" w:cs="DM Serif Display" w:eastAsia="DM Serif Display" w:hAnsi="DM Serif Display"/>
          <w:color w:val="123C48"/>
          <w:sz w:val="28"/>
          <w:szCs w:val="28"/>
        </w:rPr>
        <w:t xml:space="preserve">9. Ninguna obligación de continuar</w:t>
      </w:r>
    </w:p>
    <w:p>
      <w:pPr>
        <w:pStyle w:val="ListParagraph"/>
        <w:numPr>
          <w:ilvl w:val="0"/>
          <w:numId w:val="12"/>
        </w:numPr>
        <w:spacing w:after="80" w:line="290"/>
      </w:pPr>
      <w:r>
        <w:rPr>
          <w:rFonts w:ascii="Nunito Sans" w:cs="Nunito Sans" w:eastAsia="Nunito Sans" w:hAnsi="Nunito Sans"/>
          <w:color w:val="102E3B"/>
          <w:sz w:val="20"/>
          <w:szCs w:val="20"/>
        </w:rPr>
        <w:t xml:space="preserve">Este acuerdo no obliga a ninguna de las partes a compartir ninguna información concreta, a continuar las conversaciones ni a celebrar ningún otro acuerdo.</w:t>
      </w:r>
    </w:p>
    <w:p>
      <w:pPr>
        <w:pStyle w:val="ListParagraph"/>
        <w:numPr>
          <w:ilvl w:val="0"/>
          <w:numId w:val="12"/>
        </w:numPr>
        <w:spacing w:after="80" w:line="290"/>
      </w:pPr>
      <w:r>
        <w:rPr>
          <w:rFonts w:ascii="Nunito Sans" w:cs="Nunito Sans" w:eastAsia="Nunito Sans" w:hAnsi="Nunito Sans"/>
          <w:color w:val="102E3B"/>
          <w:sz w:val="20"/>
          <w:szCs w:val="20"/>
        </w:rPr>
        <w:t xml:space="preserve">Cualquiera de las partes puede poner fin a las conversaciones en cualquier momento, por cualquier motivo, comunicándolo por escrito a la otra.</w:t>
      </w:r>
    </w:p>
    <w:p>
      <w:pPr>
        <w:pStyle w:val="ListParagraph"/>
        <w:numPr>
          <w:ilvl w:val="0"/>
          <w:numId w:val="12"/>
        </w:numPr>
        <w:spacing w:after="80" w:line="290"/>
      </w:pPr>
      <w:r>
        <w:rPr>
          <w:rFonts w:ascii="Nunito Sans" w:cs="Nunito Sans" w:eastAsia="Nunito Sans" w:hAnsi="Nunito Sans"/>
          <w:color w:val="102E3B"/>
          <w:sz w:val="20"/>
          <w:szCs w:val="20"/>
        </w:rPr>
        <w:t xml:space="preserve">Este acuerdo no crea una sociedad, una relación de agencia ni una relación exclusiva. Cada parte sigue siendo libre de hablar y trabajar con terceros, siempre que no use ni divulgue la Información Confidencial de la otra.</w:t>
      </w:r>
    </w:p>
    <w:p>
      <w:pPr>
        <w:pStyle w:val="ListParagraph"/>
        <w:numPr>
          <w:ilvl w:val="0"/>
          <w:numId w:val="12"/>
        </w:numPr>
        <w:spacing w:after="80" w:line="290"/>
      </w:pPr>
      <w:r>
        <w:rPr>
          <w:rFonts w:ascii="Nunito Sans" w:cs="Nunito Sans" w:eastAsia="Nunito Sans" w:hAnsi="Nunito Sans"/>
          <w:color w:val="102E3B"/>
          <w:sz w:val="20"/>
          <w:szCs w:val="20"/>
        </w:rPr>
        <w:t xml:space="preserve">Cada parte asume sus propios costos de las conversaciones y de este acuerdo.</w:t>
      </w:r>
    </w:p>
    <w:p>
      <w:pPr>
        <w:pStyle w:val="Heading2"/>
        <w:keepNext/>
        <w:spacing w:after="120" w:before="280"/>
      </w:pPr>
      <w:r>
        <w:rPr>
          <w:rFonts w:ascii="DM Serif Display" w:cs="DM Serif Display" w:eastAsia="DM Serif Display" w:hAnsi="DM Serif Display"/>
          <w:color w:val="123C48"/>
          <w:sz w:val="28"/>
          <w:szCs w:val="28"/>
        </w:rPr>
        <w:t xml:space="preserve">10. Devolución o eliminación</w:t>
      </w:r>
    </w:p>
    <w:p>
      <w:pPr>
        <w:pStyle w:val="ListParagraph"/>
        <w:numPr>
          <w:ilvl w:val="0"/>
          <w:numId w:val="13"/>
        </w:numPr>
        <w:spacing w:after="80" w:line="29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desde la solicitud por escrito de la Parte Divulgadora, o desde el fin de las conversaciones, la Parte Receptora devolverá o eliminará de forma segura la Información Confidencial de la Parte Divulgadora, incluidas copias y notas, y lo confirmará por escrito.</w:t>
      </w:r>
    </w:p>
    <w:p>
      <w:pPr>
        <w:pStyle w:val="ListParagraph"/>
        <w:numPr>
          <w:ilvl w:val="0"/>
          <w:numId w:val="13"/>
        </w:numPr>
        <w:spacing w:after="80" w:line="290"/>
      </w:pPr>
      <w:r>
        <w:rPr>
          <w:rFonts w:ascii="Nunito Sans" w:cs="Nunito Sans" w:eastAsia="Nunito Sans" w:hAnsi="Nunito Sans"/>
          <w:color w:val="102E3B"/>
          <w:sz w:val="20"/>
          <w:szCs w:val="20"/>
        </w:rPr>
        <w:t xml:space="preserve">La Parte Receptora no está obligada a eliminar la información que deba conservar por ley o conforme a su política de registros, como las actas del órgano de gobierno, ni las copias guardadas en copias de seguridad automáticas que no puedan eliminarse razonablemente. Esa información sigue siendo confidencial conforme a este acuerdo, y la Parte Receptora no accederá a ella salvo que la ley lo exija.</w:t>
      </w:r>
    </w:p>
    <w:p>
      <w:pPr>
        <w:pStyle w:val="Heading2"/>
        <w:keepNext/>
        <w:spacing w:after="120" w:before="280"/>
      </w:pPr>
      <w:r>
        <w:rPr>
          <w:rFonts w:ascii="DM Serif Display" w:cs="DM Serif Display" w:eastAsia="DM Serif Display" w:hAnsi="DM Serif Display"/>
          <w:color w:val="123C48"/>
          <w:sz w:val="28"/>
          <w:szCs w:val="28"/>
        </w:rPr>
        <w:t xml:space="preserve">11. Duración</w:t>
      </w:r>
    </w:p>
    <w:p>
      <w:pPr>
        <w:pStyle w:val="ListParagraph"/>
        <w:numPr>
          <w:ilvl w:val="0"/>
          <w:numId w:val="14"/>
        </w:numPr>
        <w:spacing w:after="80" w:line="290"/>
      </w:pPr>
      <w:r>
        <w:rPr>
          <w:rFonts w:ascii="Nunito Sans" w:cs="Nunito Sans" w:eastAsia="Nunito Sans" w:hAnsi="Nunito Sans"/>
          <w:color w:val="102E3B"/>
          <w:sz w:val="20"/>
          <w:szCs w:val="20"/>
        </w:rPr>
        <w:t xml:space="preserve">Este acuerdo entra en vigor en la Fecha de Entrada en Vigor. Cubre la información compartida durante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 a partir de la Fecha de Entrada en Vigor, salvo que cualquiera de las partes le ponga fin antes con un preaviso por escrito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o que las partes firmen otro acuerdo que lo sustituya.</w:t>
      </w:r>
    </w:p>
    <w:p>
      <w:pPr>
        <w:pStyle w:val="ListParagraph"/>
        <w:numPr>
          <w:ilvl w:val="0"/>
          <w:numId w:val="14"/>
        </w:numPr>
        <w:spacing w:after="80" w:line="290"/>
      </w:pPr>
      <w:r>
        <w:rPr>
          <w:rFonts w:ascii="Nunito Sans" w:cs="Nunito Sans" w:eastAsia="Nunito Sans" w:hAnsi="Nunito Sans"/>
          <w:color w:val="102E3B"/>
          <w:sz w:val="20"/>
          <w:szCs w:val="20"/>
        </w:rPr>
        <w:t xml:space="preserve">Los deberes establecidos en este acuerdo continúan durante </w:t>
      </w:r>
      <w:r>
        <w:rPr>
          <w:rFonts w:ascii="Nunito Sans" w:cs="Nunito Sans" w:eastAsia="Nunito Sans" w:hAnsi="Nunito Sans"/>
          <w:color w:val="102E3B"/>
          <w:sz w:val="20"/>
          <w:szCs w:val="20"/>
          <w:highlight w:val="yellow"/>
        </w:rPr>
        <w:t xml:space="preserve">[3 / 5]</w:t>
      </w:r>
      <w:r>
        <w:rPr>
          <w:rFonts w:ascii="Nunito Sans" w:cs="Nunito Sans" w:eastAsia="Nunito Sans" w:hAnsi="Nunito Sans"/>
          <w:color w:val="102E3B"/>
          <w:sz w:val="20"/>
          <w:szCs w:val="20"/>
        </w:rPr>
        <w:t xml:space="preserve"> años después de que este acuerdo termine. En el caso de los secretos comerciales y de los Datos Personales, continúan mientras la información siga siendo un secreto comercial o Datos Personales.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CUÁNTO DURA LA CONFIDENCIALIDAD</w:t>
            </w:r>
          </w:p>
          <w:p>
            <w:pPr>
              <w:spacing w:after="120" w:before="0" w:line="300"/>
            </w:pPr>
            <w:r>
              <w:rPr>
                <w:rFonts w:ascii="Nunito Sans" w:cs="Nunito Sans" w:eastAsia="Nunito Sans" w:hAnsi="Nunito Sans"/>
                <w:color w:val="102E3B"/>
                <w:sz w:val="19"/>
                <w:szCs w:val="19"/>
              </w:rPr>
              <w:t xml:space="preserve">Importan dos plazos: durante cuánto tiempo las partes pueden compartir información en virtud de este acuerdo (cláusula 11.1) y cuánto dura el deber de mantener su confidencialidad (cláusula 11.2). Para la mayoría de las conversaciones sobre alianzas, tres años después del final es razonable. Usa cinco años o más para planes de negocio, tecnología o información sobre fusiones. Un deber sin fecha de fin puede no ser exigible en algunos países, así que reserva el deber indefinido solo para los secretos comerciales y los datos personales. Consulta tu legislación local sobre confidencialidad y secretos comerciales.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Vías de reparación</w:t>
      </w:r>
    </w:p>
    <w:p>
      <w:pPr>
        <w:pStyle w:val="ListParagraph"/>
        <w:numPr>
          <w:ilvl w:val="0"/>
          <w:numId w:val="15"/>
        </w:numPr>
        <w:spacing w:after="80" w:line="290"/>
      </w:pPr>
      <w:r>
        <w:rPr>
          <w:rFonts w:ascii="Nunito Sans" w:cs="Nunito Sans" w:eastAsia="Nunito Sans" w:hAnsi="Nunito Sans"/>
          <w:color w:val="102E3B"/>
          <w:sz w:val="20"/>
          <w:szCs w:val="20"/>
        </w:rPr>
        <w:t xml:space="preserve">Cada parte acepta que la indemnización por daños y perjuicios puede no bastar por sí sola para reparar un incumplimiento de este acuerdo. La Parte Divulgadora podrá solicitar a un tribunal una orden para detener o impedir un incumplimiento (una medida cautelar u orden similar), además de cualquier otra vía de reparación.</w:t>
      </w:r>
    </w:p>
    <w:p>
      <w:pPr>
        <w:pStyle w:val="ListParagraph"/>
        <w:numPr>
          <w:ilvl w:val="0"/>
          <w:numId w:val="15"/>
        </w:numPr>
        <w:spacing w:after="80" w:line="290"/>
      </w:pPr>
      <w:r>
        <w:rPr>
          <w:rFonts w:ascii="Nunito Sans" w:cs="Nunito Sans" w:eastAsia="Nunito Sans" w:hAnsi="Nunito Sans"/>
          <w:color w:val="102E3B"/>
          <w:sz w:val="20"/>
          <w:szCs w:val="20"/>
        </w:rPr>
        <w:t xml:space="preserve">Cada parte informará con prontitud a la otra si tiene conocimiento de un incumplimiento, y tomará medidas razonables para limitar el daño.</w:t>
      </w:r>
    </w:p>
    <w:p>
      <w:pPr>
        <w:pStyle w:val="ListParagraph"/>
        <w:numPr>
          <w:ilvl w:val="0"/>
          <w:numId w:val="15"/>
        </w:numPr>
        <w:spacing w:after="80" w:line="290"/>
      </w:pPr>
      <w:r>
        <w:rPr>
          <w:rFonts w:ascii="Nunito Sans" w:cs="Nunito Sans" w:eastAsia="Nunito Sans" w:hAnsi="Nunito Sans"/>
          <w:color w:val="102E3B"/>
          <w:sz w:val="20"/>
          <w:szCs w:val="20"/>
        </w:rPr>
        <w:t xml:space="preserve">Nada de lo dispuesto en este acuerdo limita la responsabilidad de ninguna de las partes por fraude o por incumplirlo de forma deliberada.</w:t>
      </w:r>
    </w:p>
    <w:p>
      <w:pPr>
        <w:pStyle w:val="Heading2"/>
        <w:keepNext/>
        <w:spacing w:after="120" w:before="280"/>
      </w:pPr>
      <w:r>
        <w:rPr>
          <w:rFonts w:ascii="DM Serif Display" w:cs="DM Serif Display" w:eastAsia="DM Serif Display" w:hAnsi="DM Serif Display"/>
          <w:color w:val="123C48"/>
          <w:sz w:val="28"/>
          <w:szCs w:val="28"/>
        </w:rPr>
        <w:t xml:space="preserve">13. Disposiciones generales</w:t>
      </w:r>
    </w:p>
    <w:p>
      <w:pPr>
        <w:pStyle w:val="ListParagraph"/>
        <w:numPr>
          <w:ilvl w:val="0"/>
          <w:numId w:val="16"/>
        </w:numPr>
        <w:spacing w:after="80" w:line="290"/>
      </w:pPr>
      <w:r>
        <w:rPr>
          <w:rFonts w:ascii="Nunito Sans" w:cs="Nunito Sans" w:eastAsia="Nunito Sans" w:hAnsi="Nunito Sans"/>
          <w:color w:val="102E3B"/>
          <w:sz w:val="20"/>
          <w:szCs w:val="20"/>
        </w:rPr>
        <w:t xml:space="preserve">Este acuerdo constituye la totalidad del acuerdo entre las partes sobre la confidencialidad para el Propósito. Sustituye cualquier entendimiento anterior sobre la materia.</w:t>
      </w:r>
    </w:p>
    <w:p>
      <w:pPr>
        <w:pStyle w:val="ListParagraph"/>
        <w:numPr>
          <w:ilvl w:val="0"/>
          <w:numId w:val="16"/>
        </w:numPr>
        <w:spacing w:after="80" w:line="290"/>
      </w:pPr>
      <w:r>
        <w:rPr>
          <w:rFonts w:ascii="Nunito Sans" w:cs="Nunito Sans" w:eastAsia="Nunito Sans" w:hAnsi="Nunito Sans"/>
          <w:color w:val="102E3B"/>
          <w:sz w:val="20"/>
          <w:szCs w:val="20"/>
        </w:rPr>
        <w:t xml:space="preserve">Las modificaciones solo son válidas si constan por escrito y están firmadas por ambas partes.</w:t>
      </w:r>
    </w:p>
    <w:p>
      <w:pPr>
        <w:pStyle w:val="ListParagraph"/>
        <w:numPr>
          <w:ilvl w:val="0"/>
          <w:numId w:val="16"/>
        </w:numPr>
        <w:spacing w:after="80" w:line="290"/>
      </w:pPr>
      <w:r>
        <w:rPr>
          <w:rFonts w:ascii="Nunito Sans" w:cs="Nunito Sans" w:eastAsia="Nunito Sans" w:hAnsi="Nunito Sans"/>
          <w:color w:val="102E3B"/>
          <w:sz w:val="20"/>
          <w:szCs w:val="20"/>
        </w:rPr>
        <w:t xml:space="preserve">Ninguna de las partes podrá transferir sus derechos u obligaciones en virtud de este acuerdo sin el consentimiento por escrito de la otra.</w:t>
      </w:r>
    </w:p>
    <w:p>
      <w:pPr>
        <w:pStyle w:val="ListParagraph"/>
        <w:numPr>
          <w:ilvl w:val="0"/>
          <w:numId w:val="16"/>
        </w:numPr>
        <w:spacing w:after="80" w:line="290"/>
      </w:pPr>
      <w:r>
        <w:rPr>
          <w:rFonts w:ascii="Nunito Sans" w:cs="Nunito Sans" w:eastAsia="Nunito Sans" w:hAnsi="Nunito Sans"/>
          <w:color w:val="102E3B"/>
          <w:sz w:val="20"/>
          <w:szCs w:val="20"/>
        </w:rPr>
        <w:t xml:space="preserve">No ejercer un derecho no supone renunciar a él. Si alguna parte de este acuerdo se declara inválida, el resto sigue en vigor.</w:t>
      </w:r>
    </w:p>
    <w:p>
      <w:pPr>
        <w:pStyle w:val="ListParagraph"/>
        <w:numPr>
          <w:ilvl w:val="0"/>
          <w:numId w:val="16"/>
        </w:numPr>
        <w:spacing w:after="80" w:line="290"/>
      </w:pPr>
      <w:r>
        <w:rPr>
          <w:rFonts w:ascii="Nunito Sans" w:cs="Nunito Sans" w:eastAsia="Nunito Sans" w:hAnsi="Nunito Sans"/>
          <w:color w:val="102E3B"/>
          <w:sz w:val="20"/>
          <w:szCs w:val="20"/>
        </w:rPr>
        <w:t xml:space="preserve">Las notificaciones deben hacerse por escrito y enviarse por correo electrónico al contacto indicado en la tabla de Partes, o a un nuevo contacto notificado por escrito.</w:t>
      </w:r>
    </w:p>
    <w:p>
      <w:pPr>
        <w:pStyle w:val="ListParagraph"/>
        <w:numPr>
          <w:ilvl w:val="0"/>
          <w:numId w:val="16"/>
        </w:numPr>
        <w:spacing w:after="80" w:line="290"/>
      </w:pPr>
      <w:r>
        <w:rPr>
          <w:rFonts w:ascii="Nunito Sans" w:cs="Nunito Sans" w:eastAsia="Nunito Sans" w:hAnsi="Nunito Sans"/>
          <w:color w:val="102E3B"/>
          <w:sz w:val="20"/>
          <w:szCs w:val="20"/>
        </w:rPr>
        <w:t xml:space="preserve">Este acuerdo puede firmarse en ejemplares separados y mediante firma electrónica. Cada ejemplar firmado es un original. Si se traduce, prevalece la versión en </w:t>
      </w:r>
      <w:r>
        <w:rPr>
          <w:rFonts w:ascii="Nunito Sans" w:cs="Nunito Sans" w:eastAsia="Nunito Sans" w:hAnsi="Nunito Sans"/>
          <w:color w:val="102E3B"/>
          <w:sz w:val="20"/>
          <w:szCs w:val="20"/>
          <w:highlight w:val="yellow"/>
        </w:rPr>
        <w:t xml:space="preserve">[español]</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14. Ley aplicable y controversias</w:t>
      </w:r>
    </w:p>
    <w:p>
      <w:pPr>
        <w:pStyle w:val="ListParagraph"/>
        <w:numPr>
          <w:ilvl w:val="0"/>
          <w:numId w:val="17"/>
        </w:numPr>
        <w:spacing w:after="80" w:line="290"/>
      </w:pPr>
      <w:r>
        <w:rPr>
          <w:rFonts w:ascii="Nunito Sans" w:cs="Nunito Sans" w:eastAsia="Nunito Sans" w:hAnsi="Nunito Sans"/>
          <w:color w:val="102E3B"/>
          <w:sz w:val="20"/>
          <w:szCs w:val="20"/>
        </w:rPr>
        <w:t xml:space="preserve">Este acuerdo se rige por la ley de </w:t>
      </w:r>
      <w:r>
        <w:rPr>
          <w:rFonts w:ascii="Nunito Sans" w:cs="Nunito Sans" w:eastAsia="Nunito Sans" w:hAnsi="Nunito Sans"/>
          <w:color w:val="102E3B"/>
          <w:sz w:val="20"/>
          <w:szCs w:val="20"/>
          <w:highlight w:val="yellow"/>
        </w:rPr>
        <w:t xml:space="preserve">[país o estado]</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color w:val="102E3B"/>
          <w:sz w:val="20"/>
          <w:szCs w:val="20"/>
        </w:rPr>
        <w:t xml:space="preserve">Las partes intentarán primero resolver cualquier controversia mediante el diálogo, en una reunión de </w:t>
      </w:r>
      <w:r>
        <w:rPr>
          <w:rFonts w:ascii="Nunito Sans" w:cs="Nunito Sans" w:eastAsia="Nunito Sans" w:hAnsi="Nunito Sans"/>
          <w:color w:val="102E3B"/>
          <w:sz w:val="20"/>
          <w:szCs w:val="20"/>
          <w:highlight w:val="yellow"/>
        </w:rPr>
        <w:t xml:space="preserve">[las personas que dirigen ambas organizaciones]</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desde que una de las partes la plantee por escrito.</w:t>
      </w:r>
    </w:p>
    <w:p>
      <w:pPr>
        <w:pStyle w:val="ListParagraph"/>
        <w:numPr>
          <w:ilvl w:val="0"/>
          <w:numId w:val="17"/>
        </w:numPr>
        <w:spacing w:after="80" w:line="290"/>
      </w:pPr>
      <w:r>
        <w:rPr>
          <w:rFonts w:ascii="Nunito Sans" w:cs="Nunito Sans" w:eastAsia="Nunito Sans" w:hAnsi="Nunito Sans"/>
          <w:color w:val="102E3B"/>
          <w:sz w:val="20"/>
          <w:szCs w:val="20"/>
        </w:rPr>
        <w:t xml:space="preserve">Si la controversia no se resuelve, los tribunales de </w:t>
      </w:r>
      <w:r>
        <w:rPr>
          <w:rFonts w:ascii="Nunito Sans" w:cs="Nunito Sans" w:eastAsia="Nunito Sans" w:hAnsi="Nunito Sans"/>
          <w:color w:val="102E3B"/>
          <w:sz w:val="20"/>
          <w:szCs w:val="20"/>
          <w:highlight w:val="yellow"/>
        </w:rPr>
        <w:t xml:space="preserve">[país o ciudad]</w:t>
      </w:r>
      <w:r>
        <w:rPr>
          <w:rFonts w:ascii="Nunito Sans" w:cs="Nunito Sans" w:eastAsia="Nunito Sans" w:hAnsi="Nunito Sans"/>
          <w:color w:val="102E3B"/>
          <w:sz w:val="20"/>
          <w:szCs w:val="20"/>
        </w:rPr>
        <w:t xml:space="preserve"> tienen jurisdicción </w:t>
      </w:r>
      <w:r>
        <w:rPr>
          <w:rFonts w:ascii="Nunito Sans" w:cs="Nunito Sans" w:eastAsia="Nunito Sans" w:hAnsi="Nunito Sans"/>
          <w:color w:val="102E3B"/>
          <w:sz w:val="20"/>
          <w:szCs w:val="20"/>
          <w:highlight w:val="yellow"/>
        </w:rPr>
        <w:t xml:space="preserve">[exclusiva / no exclusiva]</w:t>
      </w:r>
      <w:r>
        <w:rPr>
          <w:rFonts w:ascii="Nunito Sans" w:cs="Nunito Sans" w:eastAsia="Nunito Sans" w:hAnsi="Nunito Sans"/>
          <w:color w:val="102E3B"/>
          <w:sz w:val="20"/>
          <w:szCs w:val="20"/>
        </w:rPr>
        <w:t xml:space="preserve">. Cualquiera de las partes puede solicitar a cualquier tribunal competente medidas urgentes conforme a la cláusula 12.</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TRIBUNALES EN CONVERSACIONES TRANSFRONTERIZAS</w:t>
            </w:r>
          </w:p>
          <w:p>
            <w:pPr>
              <w:spacing w:after="120" w:before="0" w:line="300"/>
            </w:pPr>
            <w:r>
              <w:rPr>
                <w:rFonts w:ascii="Nunito Sans" w:cs="Nunito Sans" w:eastAsia="Nunito Sans" w:hAnsi="Nunito Sans"/>
                <w:color w:val="102E3B"/>
                <w:sz w:val="19"/>
                <w:szCs w:val="19"/>
              </w:rPr>
              <w:t xml:space="preserve">Si ambas partes están en el mismo país, elige su ley y sus tribunales. Si estáis en países distintos, acordad una única ley, normalmente la de la parte que comparte la información más delicada, y elegid una jurisdicción "no exclusiva" para que cada parte pueda pedir ayuda urgente a un tribunal del lugar donde se produzca el incumplimiento. Ejecutar una sentencia extranjera puede ser lento, así que una medida cautelar local rápida suele valer más que una elección de tribunal perfecta.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Firmado por los representantes autorizados de las partes en las fechas indicadas a continuación.</w:t>
      </w:r>
    </w:p>
    <w:p>
      <w:pPr>
        <w:keepNext/>
        <w:spacing w:after="80" w:before="120"/>
      </w:pPr>
      <w:r>
        <w:rPr>
          <w:rFonts w:ascii="Nunito Sans" w:cs="Nunito Sans" w:eastAsia="Nunito Sans" w:hAnsi="Nunito Sans"/>
          <w:b/>
          <w:bCs/>
          <w:color w:val="16746E"/>
          <w:spacing w:val="30"/>
          <w:sz w:val="15"/>
          <w:szCs w:val="15"/>
        </w:rPr>
        <w:t xml:space="preserve">POR LA PARTE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[Denominación legal de la Parte A]</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POR LA PARTE B</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[Denominación legal de la Parte B]</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93FCE421-BB8F-801C-DC2E-55E6A2665545}"/>
  </w:font>
  <w:font w:name="DM Serif Display">
    <w:family w:val="auto"/>
    <w:pitch w:val="variable"/>
    <w:sig w:usb0="E0002AFF" w:usb1="C000247B" w:usb2="00000009" w:usb3="00000000" w:csb0="000001FF" w:csb1="00000000"/>
    <w:embedRegular r:id="rId2" w:fontKey="{7F0B0103-575E-5855-BD87-393B8978C5E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Acuerdo de Confidencialidad Mutua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ACUERDO DE CONFIDENCIALIDAD MUTUA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Confidencialidad Mutua</dc:title>
  <dc:creator>Method into Impact</dc:creator>
  <dc:description>Un acuerdo breve y equilibrado que permite a [[Nombre de la organización]] y a otra organización compartir información confidencial de forma segura mientras exploran la posibilidad de trabajar juntas.</dc:description>
  <cp:lastModifiedBy>Un-named</cp:lastModifiedBy>
  <cp:revision>1</cp:revision>
  <dcterms:created xsi:type="dcterms:W3CDTF">2026-10-29T06:01:25.369Z</dcterms:created>
  <dcterms:modified xsi:type="dcterms:W3CDTF">2026-10-29T06:01:25.369Z</dcterms:modified>
</cp:coreProperties>
</file>

<file path=docProps/custom.xml><?xml version="1.0" encoding="utf-8"?>
<Properties xmlns="http://schemas.openxmlformats.org/officeDocument/2006/custom-properties" xmlns:vt="http://schemas.openxmlformats.org/officeDocument/2006/docPropsVTypes"/>
</file>