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pPr>
        <w:spacing w:after="200" w:before="0"/>
      </w:pPr>
      <w:r>
        <w:rPr>
          <w:rFonts w:ascii="Nunito Sans" w:cs="Nunito Sans" w:eastAsia="Nunito Sans" w:hAnsi="Nunito Sans"/>
          <w:b/>
          <w:bCs/>
          <w:color w:val="D8EEE2"/>
          <w:spacing w:val="40"/>
          <w:sz w:val="17"/>
          <w:szCs w:val="17"/>
        </w:rPr>
        <w:t xml:space="preserve">PLANTILLA DE POLÍTICA · SALVAGUARDA</w:t>
      </w:r>
    </w:p>
    <w:p>
      <w:pPr>
        <w:spacing w:after="360" w:line="360" w:lineRule="atLeast"/>
      </w:pPr>
      <w:r>
        <w:rPr>
          <w:rFonts w:ascii="Nunito Sans" w:cs="Nunito Sans" w:eastAsia="Nunito Sans" w:hAnsi="Nunito Sans"/>
          <w:b/>
          <w:bCs/>
          <w:color w:val="102E3B"/>
          <w:sz w:val="24"/>
          <w:szCs w:val="24"/>
          <w:highlight w:val="yellow"/>
        </w:rPr>
        <w:t xml:space="preserve">[Nombre de la organización]</w:t>
      </w:r>
    </w:p>
    <w:p>
      <w:pPr>
        <w:spacing w:after="280" w:before="120" w:line="920" w:lineRule="atLeast"/>
      </w:pPr>
      <w:r>
        <w:rPr>
          <w:rFonts w:ascii="DM Serif Display" w:cs="DM Serif Display" w:eastAsia="DM Serif Display" w:hAnsi="DM Serif Display"/>
          <w:color w:val="FFFAF3"/>
          <w:sz w:val="76"/>
          <w:szCs w:val="76"/>
        </w:rPr>
        <w:t xml:space="preserve">Política y Procedimiento de Salvaguarda</w:t>
      </w:r>
    </w:p>
    <w:p>
      <w:pPr>
        <w:spacing w:after="280"/>
      </w:pPr>
      <w:r>
        <w:rPr>
          <w:rFonts w:ascii="Nunito Sans" w:cs="Nunito Sans" w:eastAsia="Nunito Sans" w:hAnsi="Nunito Sans"/>
          <w:color w:val="E56F4A"/>
          <w:sz w:val="20"/>
          <w:szCs w:val="20"/>
        </w:rPr>
        <w:t xml:space="preserve">————</w:t>
      </w:r>
    </w:p>
    <w:p>
      <w:pPr>
        <w:spacing w:after="0" w:line="320"/>
        <w:ind w:right="3200"/>
      </w:pPr>
      <w:r>
        <w:rPr>
          <w:rFonts w:ascii="Nunito Sans" w:cs="Nunito Sans" w:eastAsia="Nunito Sans" w:hAnsi="Nunito Sans"/>
          <w:color w:val="D8EEE2"/>
          <w:sz w:val="21"/>
          <w:szCs w:val="21"/>
        </w:rPr>
        <w:t xml:space="preserve">Cómo </w:t>
      </w:r>
      <w:r>
        <w:rPr>
          <w:rFonts w:ascii="Nunito Sans" w:cs="Nunito Sans" w:eastAsia="Nunito Sans" w:hAnsi="Nunito Sans"/>
          <w:color w:val="102E3B"/>
          <w:sz w:val="21"/>
          <w:szCs w:val="21"/>
          <w:highlight w:val="yellow"/>
        </w:rPr>
        <w:t xml:space="preserve">[Nombre de la organización]</w:t>
      </w:r>
      <w:r>
        <w:rPr>
          <w:rFonts w:ascii="Nunito Sans" w:cs="Nunito Sans" w:eastAsia="Nunito Sans" w:hAnsi="Nunito Sans"/>
          <w:color w:val="D8EEE2"/>
          <w:sz w:val="21"/>
          <w:szCs w:val="21"/>
        </w:rPr>
        <w:t xml:space="preserve"> protege del daño a niñas, niños y adolescentes, a las personas adultas en situación de riesgo y a todas las personas con las que trabajamos, incluida la explotación, el abuso y el acoso sexuales, y qué hacemos cuando alguien plantea una preocupación.</w:t>
      </w:r>
    </w:p>
    <w:p>
      <w:pPr>
        <w:sectPr>
          <w:pgSz w:w="11906" w:h="16838" w:orient="portrait"/>
          <w:pgMar w:top="5300" w:right="1200" w:bottom="1000" w:left="1410" w:header="0" w:footer="0" w:gutter="0"/>
          <w:pgNumType/>
          <w:docGrid w:linePitch="360"/>
        </w:sectPr>
      </w:pPr>
    </w:p>
    <w:p>
      <w:pPr>
        <w:spacing w:after="120"/>
      </w:pPr>
      <w:r>
        <w:rPr>
          <w:rFonts w:ascii="Nunito Sans" w:cs="Nunito Sans" w:eastAsia="Nunito Sans" w:hAnsi="Nunito Sans"/>
          <w:b/>
          <w:bCs/>
          <w:color w:val="FFFFFF"/>
          <w:spacing w:val="30"/>
          <w:sz w:val="15"/>
          <w:szCs w:val="15"/>
          <w:shd w:fill="E56F4A" w:color="auto" w:val="clear"/>
        </w:rPr>
        <w:t xml:space="preserve">BORRA ESTA PÁGINA ANTES DE USAR EL DOCUMENTO</w:t>
      </w:r>
    </w:p>
    <w:p>
      <w:pPr>
        <w:keepNext/>
        <w:spacing w:after="80" w:before="0"/>
      </w:pPr>
      <w:r>
        <w:rPr>
          <w:rFonts w:ascii="Nunito Sans" w:cs="Nunito Sans" w:eastAsia="Nunito Sans" w:hAnsi="Nunito Sans"/>
          <w:b/>
          <w:bCs/>
          <w:color w:val="16746E"/>
          <w:spacing w:val="30"/>
          <w:sz w:val="15"/>
          <w:szCs w:val="15"/>
        </w:rPr>
        <w:t xml:space="preserve">METHOD INTO IMPACT · GUÍA DE LA PLANTILLA</w:t>
      </w:r>
    </w:p>
    <w:p>
      <w:pPr>
        <w:spacing w:after="160"/>
      </w:pPr>
      <w:r>
        <w:rPr>
          <w:rFonts w:ascii="DM Serif Display" w:cs="DM Serif Display" w:eastAsia="DM Serif Display" w:hAnsi="DM Serif Display"/>
          <w:color w:val="123C48"/>
          <w:sz w:val="40"/>
          <w:szCs w:val="40"/>
        </w:rPr>
        <w:t xml:space="preserve">Cómo usar esta plantilla</w:t>
      </w:r>
    </w:p>
    <w:p>
      <w:pPr>
        <w:spacing w:after="120" w:before="0" w:line="270"/>
      </w:pPr>
      <w:r>
        <w:rPr>
          <w:rFonts w:ascii="Nunito Sans" w:cs="Nunito Sans" w:eastAsia="Nunito Sans" w:hAnsi="Nunito Sans"/>
          <w:color w:val="102E3B"/>
          <w:sz w:val="18"/>
          <w:szCs w:val="18"/>
        </w:rPr>
        <w:t xml:space="preserve">Una política de salvaguarda demuestra que ha reflexionado sobre cómo su trabajo podría dañar a las personas y qué hará al respecto. Financiadores, socios y reguladores la leen con más atención que cualquier otra política, porque protege a las personas con menos poder. Esta plantilla abarca a niñas, niños y adolescentes, a las personas adultas en situación de riesgo y la protección contra la explotación, el abuso y el acoso sexuales (EAAS), con un procedimiento centrado en la persona sobreviviente, un formulario de reporte y un mapa de derivación.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66"/>
        <w:gridCol w:w="6858"/>
      </w:tblGrid>
      <w:tr>
        <w:trPr>
          <w:cantSplit/>
          <w:tblHeader/>
        </w:trPr>
        <w:tc>
          <w:tcPr>
            <w:tcW w:type="dxa" w:w="2666"/>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VERÁS</w:t>
            </w:r>
          </w:p>
        </w:tc>
        <w:tc>
          <w:tcPr>
            <w:tcW w:type="dxa" w:w="6858"/>
            <w:tcBorders>
              <w:top w:val="single" w:color="D9DED8" w:sz="4"/>
              <w:left w:val="single" w:color="D9DED8" w:sz="4"/>
              <w:bottom w:val="single" w:color="D9DED8" w:sz="4"/>
              <w:right w:val="single" w:color="D9DED8" w:sz="4"/>
            </w:tcBorders>
            <w:shd w:fill="123C48" w:color="auto" w:val="clear"/>
            <w:tcMar>
              <w:top w:type="dxa" w:w="50"/>
              <w:left w:type="dxa" w:w="120"/>
              <w:bottom w:type="dxa" w:w="50"/>
              <w:right w:type="dxa" w:w="120"/>
            </w:tcMar>
          </w:tcPr>
          <w:p>
            <w:pPr>
              <w:spacing w:after="40" w:line="260"/>
            </w:pPr>
            <w:r>
              <w:rPr>
                <w:rFonts w:ascii="Nunito Sans" w:cs="Nunito Sans" w:eastAsia="Nunito Sans" w:hAnsi="Nunito Sans"/>
                <w:b/>
                <w:bCs/>
                <w:color w:val="FFFAF3"/>
                <w:spacing w:val="20"/>
                <w:sz w:val="15"/>
                <w:szCs w:val="15"/>
              </w:rPr>
              <w:t xml:space="preserve">QUÉ HACER</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highlight w:val="yellow"/>
              </w:rPr>
              <w:t xml:space="preserve">[Resaltado amarillo]</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Reemplázalo con tus datos y quita el resaltado (en Word: Inicio › Color de resaltado de texto › Sin color).</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con barra naranja titulados “Adáptalo”</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Indicaciones para ti. Toma la decisión que describen, ajusta el texto y luego borra el recuadro.</w:t>
            </w:r>
          </w:p>
        </w:tc>
      </w:tr>
      <w:tr>
        <w:trPr>
          <w:cantSplit/>
          <w:tblHeader w:val="off"/>
        </w:trPr>
        <w:tc>
          <w:tcPr>
            <w:tcW w:type="dxa" w:w="2666"/>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Corchetes con opciones, p. ej. </w:t>
            </w:r>
            <w:r>
              <w:rPr>
                <w:rFonts w:ascii="Nunito Sans" w:cs="Nunito Sans" w:eastAsia="Nunito Sans" w:hAnsi="Nunito Sans"/>
                <w:color w:val="102E3B"/>
                <w:sz w:val="16"/>
                <w:szCs w:val="16"/>
                <w:highlight w:val="yellow"/>
              </w:rPr>
              <w:t xml:space="preserve">[24 horas / 48 horas]</w:t>
            </w:r>
          </w:p>
        </w:tc>
        <w:tc>
          <w:tcPr>
            <w:tcW w:type="dxa" w:w="6858"/>
            <w:tcBorders>
              <w:top w:val="single" w:color="D9DED8" w:sz="4"/>
              <w:left w:val="single" w:color="D9DED8" w:sz="4"/>
              <w:bottom w:val="single" w:color="D9DED8" w:sz="4"/>
              <w:right w:val="single" w:color="D9DED8" w:sz="4"/>
            </w:tcBorders>
            <w:shd w:fill="FFFFFF"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Elige una opción, o escribe la tuya, y borra el resto.</w:t>
            </w:r>
          </w:p>
        </w:tc>
      </w:tr>
      <w:tr>
        <w:trPr>
          <w:cantSplit/>
          <w:tblHeader w:val="off"/>
        </w:trPr>
        <w:tc>
          <w:tcPr>
            <w:tcW w:type="dxa" w:w="2666"/>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Recuadros verdes y crema</w:t>
            </w:r>
          </w:p>
        </w:tc>
        <w:tc>
          <w:tcPr>
            <w:tcW w:type="dxa" w:w="6858"/>
            <w:tcBorders>
              <w:top w:val="single" w:color="D9DED8" w:sz="4"/>
              <w:left w:val="single" w:color="D9DED8" w:sz="4"/>
              <w:bottom w:val="single" w:color="D9DED8" w:sz="4"/>
              <w:right w:val="single" w:color="D9DED8" w:sz="4"/>
            </w:tcBorders>
            <w:shd w:fill="FFFAF3" w:color="auto" w:val="clear"/>
            <w:tcMar>
              <w:top w:type="dxa" w:w="50"/>
              <w:left w:type="dxa" w:w="120"/>
              <w:bottom w:type="dxa" w:w="50"/>
              <w:right w:type="dxa" w:w="120"/>
            </w:tcMar>
          </w:tcPr>
          <w:p>
            <w:pPr>
              <w:spacing w:after="40" w:line="260"/>
            </w:pPr>
            <w:r>
              <w:rPr>
                <w:rFonts w:ascii="Nunito Sans" w:cs="Nunito Sans" w:eastAsia="Nunito Sans" w:hAnsi="Nunito Sans"/>
                <w:color w:val="102E3B"/>
                <w:sz w:val="16"/>
                <w:szCs w:val="16"/>
              </w:rPr>
              <w:t xml:space="preserve">Forman parte del documento final. Mantenlos y actualiza el texto.</w:t>
            </w:r>
          </w:p>
        </w:tc>
      </w:tr>
    </w:tbl>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QUIÉN SUELE PEDIRLO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Financiadores institucionales y fundaciones durante la debida diligencia; agencias de las Naciones Unidas y ONG internacionales antes de establecer una alianza; reguladores gubernamentales y organismos de registro; escuelas, centros de salud y socios comunitarios; su órgano de gobierno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TIEMPO PARA ADAPTARLO</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4–6 horas para adaptarla, más 2–3 horas para mapear los servicios de derivación locales; 30–45 minutos para que el órgano de gobierno la apruebe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SE APRENDE EN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Curso 4 · Protect, Módulo 10 (legal, cumplimiento, políticas y riesgos), lección 10.5 (salvaguarda)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60"/>
              <w:left w:type="dxa" w:w="140"/>
              <w:bottom w:type="dxa" w:w="60"/>
              <w:right w:type="dxa" w:w="120"/>
            </w:tcMar>
          </w:tcPr>
          <w:p>
            <w:pPr>
              <w:spacing w:after="0"/>
            </w:pPr>
            <w:r>
              <w:rPr>
                <w:rFonts w:ascii="Nunito Sans" w:cs="Nunito Sans" w:eastAsia="Nunito Sans" w:hAnsi="Nunito Sans"/>
                <w:b/>
                <w:bCs/>
                <w:color w:val="5B6F78"/>
                <w:spacing w:val="20"/>
                <w:sz w:val="15"/>
                <w:szCs w:val="15"/>
              </w:rPr>
              <w:t xml:space="preserve">ÚSALO JUNTO CON</w:t>
            </w:r>
          </w:p>
        </w:tc>
        <w:tc>
          <w:tcPr>
            <w:tcW w:type="dxa" w:w="7024"/>
            <w:tcBorders>
              <w:top w:val="none" w:color="FFFFFF" w:sz="0"/>
              <w:left w:val="none" w:color="FFFFFF" w:sz="0"/>
              <w:bottom w:val="single" w:color="D9DED8" w:sz="4"/>
              <w:right w:val="none" w:color="FFFFFF" w:sz="0"/>
            </w:tcBorders>
            <w:tcMar>
              <w:top w:type="dxa" w:w="60"/>
              <w:left w:type="dxa" w:w="160"/>
              <w:bottom w:type="dxa" w:w="60"/>
              <w:right w:type="dxa" w:w="120"/>
            </w:tcMar>
          </w:tcPr>
          <w:p>
            <w:pPr>
              <w:spacing w:after="0" w:line="260"/>
            </w:pPr>
            <w:r>
              <w:rPr>
                <w:rFonts w:ascii="Nunito Sans" w:cs="Nunito Sans" w:eastAsia="Nunito Sans" w:hAnsi="Nunito Sans"/>
                <w:color w:val="102E3B"/>
                <w:sz w:val="17"/>
                <w:szCs w:val="17"/>
              </w:rPr>
              <w:t xml:space="preserve">Código de Conducta · Política y Procedimiento contra el Acoso, la Intimidación y el Hostigamiento · Política y Procedimiento de Denuncia de Irregularidades · Nota sobre el Rol de Contacto Independiente · Procedimiento de Notificación de Incidentes · Procedimiento de Quejas y Retroalimentación · Formulario de Consentimiento para Fotos e Historias · Política de Protección de Datos · Política de Debida Diligencia de Socios y Control de Sanciones · Procedimiento de Contratación Segura · Procedimiento Disciplinario y de Reclamaciones</w:t>
            </w:r>
          </w:p>
        </w:tc>
      </w:tr>
    </w:tbl>
    <w:p>
      <w:pPr>
        <w:spacing w:after="40"/>
      </w:pPr>
    </w:p>
    <w:p>
      <w:pPr>
        <w:keepNext/>
        <w:spacing w:after="80" w:before="120"/>
      </w:pPr>
      <w:r>
        <w:rPr>
          <w:rFonts w:ascii="Nunito Sans" w:cs="Nunito Sans" w:eastAsia="Nunito Sans" w:hAnsi="Nunito Sans"/>
          <w:b/>
          <w:bCs/>
          <w:color w:val="16746E"/>
          <w:spacing w:val="30"/>
          <w:sz w:val="15"/>
          <w:szCs w:val="15"/>
        </w:rPr>
        <w:t xml:space="preserve">CINCO PASOS HASTA EL DOCUMENTO FINAL</w:t>
      </w:r>
    </w:p>
    <w:p>
      <w:pPr>
        <w:pStyle w:val="ListParagraph"/>
        <w:numPr>
          <w:ilvl w:val="0"/>
          <w:numId w:val="2"/>
        </w:numPr>
        <w:spacing w:after="40" w:line="260"/>
      </w:pPr>
      <w:r>
        <w:rPr>
          <w:rFonts w:ascii="Nunito Sans" w:cs="Nunito Sans" w:eastAsia="Nunito Sans" w:hAnsi="Nunito Sans"/>
          <w:color w:val="102E3B"/>
          <w:sz w:val="17"/>
          <w:szCs w:val="17"/>
        </w:rPr>
        <w:t xml:space="preserve">Completa cada campo amarillo y trabaja cada recuadro “Adáptalo”.</w:t>
      </w:r>
    </w:p>
    <w:p>
      <w:pPr>
        <w:pStyle w:val="ListParagraph"/>
        <w:numPr>
          <w:ilvl w:val="0"/>
          <w:numId w:val="2"/>
        </w:numPr>
        <w:spacing w:after="40" w:line="260"/>
      </w:pPr>
      <w:r>
        <w:rPr>
          <w:rFonts w:ascii="Nunito Sans" w:cs="Nunito Sans" w:eastAsia="Nunito Sans" w:hAnsi="Nunito Sans"/>
          <w:color w:val="102E3B"/>
          <w:sz w:val="17"/>
          <w:szCs w:val="17"/>
        </w:rPr>
        <w:t xml:space="preserve">Elimina lo que no aplique y mantén el documento proporcional a tu tamaño.</w:t>
      </w:r>
    </w:p>
    <w:p>
      <w:pPr>
        <w:pStyle w:val="ListParagraph"/>
        <w:numPr>
          <w:ilvl w:val="0"/>
          <w:numId w:val="2"/>
        </w:numPr>
        <w:spacing w:after="40" w:line="260"/>
      </w:pPr>
      <w:r>
        <w:rPr>
          <w:rFonts w:ascii="Nunito Sans" w:cs="Nunito Sans" w:eastAsia="Nunito Sans" w:hAnsi="Nunito Sans"/>
          <w:color w:val="102E3B"/>
          <w:sz w:val="17"/>
          <w:szCs w:val="17"/>
        </w:rPr>
        <w:t xml:space="preserve">Pide a un asesor cualificado de tu país que lo revise según la ley local, las condiciones de tus financiadores y las normas de tu sector. La plantilla de lista de verificación para revisión legal puede guiar esa conversación.</w:t>
      </w:r>
    </w:p>
    <w:p>
      <w:pPr>
        <w:pStyle w:val="ListParagraph"/>
        <w:numPr>
          <w:ilvl w:val="0"/>
          <w:numId w:val="2"/>
        </w:numPr>
        <w:spacing w:after="40" w:line="260"/>
      </w:pPr>
      <w:r>
        <w:rPr>
          <w:rFonts w:ascii="Nunito Sans" w:cs="Nunito Sans" w:eastAsia="Nunito Sans" w:hAnsi="Nunito Sans"/>
          <w:color w:val="102E3B"/>
          <w:sz w:val="17"/>
          <w:szCs w:val="17"/>
        </w:rPr>
        <w:t xml:space="preserve">Apruébalo formalmente (por ejemplo, por decisión del órgano de gobierno o de las personas fundadoras), ponle fecha y fija una fecha de revisión.</w:t>
      </w:r>
    </w:p>
    <w:p>
      <w:pPr>
        <w:pStyle w:val="ListParagraph"/>
        <w:numPr>
          <w:ilvl w:val="0"/>
          <w:numId w:val="2"/>
        </w:numPr>
        <w:spacing w:after="40" w:line="260"/>
      </w:pPr>
      <w:r>
        <w:rPr>
          <w:rFonts w:ascii="Nunito Sans" w:cs="Nunito Sans" w:eastAsia="Nunito Sans" w:hAnsi="Nunito Sans"/>
          <w:color w:val="102E3B"/>
          <w:sz w:val="17"/>
          <w:szCs w:val="17"/>
        </w:rPr>
        <w:t xml:space="preserve">Comunícalo, pide a las personas que confirmen que lo han leído y guárdalo donde todos puedan encontrarlo.</w:t>
      </w:r>
    </w:p>
    <w:p>
      <w:pPr>
        <w:spacing w:after="8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5B6F78" w:sz="24"/>
              <w:bottom w:val="none" w:color="FFFFFF" w:sz="0"/>
              <w:right w:val="none" w:color="FFFFFF" w:sz="0"/>
            </w:tcBorders>
            <w:shd w:fill="F3F1EC"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5B6F78"/>
                <w:spacing w:val="30"/>
                <w:sz w:val="15"/>
                <w:szCs w:val="15"/>
              </w:rPr>
              <w:t xml:space="preserve">IMPORTANTE</w:t>
            </w:r>
          </w:p>
          <w:p>
            <w:pPr>
              <w:spacing w:after="120" w:before="0" w:line="260"/>
            </w:pPr>
            <w:r>
              <w:rPr>
                <w:rFonts w:ascii="Nunito Sans" w:cs="Nunito Sans" w:eastAsia="Nunito Sans" w:hAnsi="Nunito Sans"/>
                <w:color w:val="102E3B"/>
                <w:sz w:val="16"/>
                <w:szCs w:val="16"/>
              </w:rPr>
              <w:t xml:space="preserve">Esto es una plantilla, no asesoramiento legal. Es un punto de partida general escrito para pequeñas organizaciones con propósito y personas emprendedoras de distintos países. Las leyes, los reguladores y los financiadores varían y cambian. Method into Impact no garantiza que esta plantilla sea completa, actual o adecuada para tu situación, y usarla no crea una relación de asesoramiento profesional. Eres responsable de adaptarla, obtener asesoramiento local y aprobar la versión final. Licencia de uso para una sola organización; no la revendas ni la republiques.</w:t>
            </w:r>
          </w:p>
        </w:tc>
      </w:tr>
    </w:tbl>
    <w:p>
      <w:r>
        <w:br w:type="page"/>
      </w:r>
    </w:p>
    <w:p>
      <w:pPr>
        <w:keepNext/>
        <w:spacing w:after="80" w:before="0"/>
      </w:pPr>
      <w:r>
        <w:rPr>
          <w:rFonts w:ascii="Nunito Sans" w:cs="Nunito Sans" w:eastAsia="Nunito Sans" w:hAnsi="Nunito Sans"/>
          <w:b/>
          <w:bCs/>
          <w:color w:val="16746E"/>
          <w:spacing w:val="30"/>
          <w:sz w:val="15"/>
          <w:szCs w:val="15"/>
        </w:rPr>
        <w:t xml:space="preserve">CONTROL DEL DOCUMENTO</w:t>
      </w:r>
    </w:p>
    <w:p>
      <w:pPr>
        <w:spacing w:after="200"/>
      </w:pPr>
      <w:r>
        <w:rPr>
          <w:rFonts w:ascii="DM Serif Display" w:cs="DM Serif Display" w:eastAsia="DM Serif Display" w:hAnsi="DM Serif Display"/>
          <w:color w:val="123C48"/>
          <w:sz w:val="40"/>
          <w:szCs w:val="40"/>
        </w:rPr>
        <w:t xml:space="preserve">Sobre este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7024"/>
      </w:tblGrid>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DOCUMENTO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Política y Procedimiento de Salvaguarda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TIPO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Política y procedimiento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RESPONSABLE</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y cargo de la persona responsable]</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APROBADO POR</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cargo y órgano, p. ej. la junta directiva]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VERSIÓN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[1.0]</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FECHA DE APROBACIÓN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[DD de mes de AAAA]</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PRÓXIMA REVISIÓN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[Mes AAAA]</w:t>
            </w:r>
            <w:r>
              <w:rPr>
                <w:rFonts w:ascii="Nunito Sans" w:cs="Nunito Sans" w:eastAsia="Nunito Sans" w:hAnsi="Nunito Sans"/>
                <w:color w:val="102E3B"/>
                <w:sz w:val="19"/>
                <w:szCs w:val="19"/>
              </w:rPr>
              <w:t xml:space="preserve">, o antes tras un incidente grave, un cambio en la ley o un cambio importante en nuestra forma de trabajar</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SE APLICA 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rPr>
              <w:t xml:space="preserve">Personal, personas voluntarias, personas en prácticas, miembros del órgano de gobierno, contratistas, consultores, personal de los socios en nuestros proyectos y visitantes de nuestras actividades</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ORGANIZACIÓN</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[Nombre legal, forma jurídica, país de registro y número de registro]</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CONTACTO</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[salvaguarda@tuorganizacion.org]</w:t>
            </w:r>
            <w:r>
              <w:rPr>
                <w:rFonts w:ascii="Nunito Sans" w:cs="Nunito Sans" w:eastAsia="Nunito Sans" w:hAnsi="Nunito Sans"/>
                <w:color w:val="102E3B"/>
                <w:sz w:val="19"/>
                <w:szCs w:val="19"/>
              </w:rPr>
              <w:t xml:space="preserve"> · </w:t>
            </w:r>
            <w:r>
              <w:rPr>
                <w:rFonts w:ascii="Nunito Sans" w:cs="Nunito Sans" w:eastAsia="Nunito Sans" w:hAnsi="Nunito Sans"/>
                <w:color w:val="102E3B"/>
                <w:sz w:val="19"/>
                <w:szCs w:val="19"/>
                <w:highlight w:val="yellow"/>
              </w:rPr>
              <w:t xml:space="preserve">[hola@tuorganizacion.org]</w:t>
            </w:r>
          </w:p>
        </w:tc>
      </w:tr>
      <w:tr>
        <w:trPr>
          <w:cantSplit/>
        </w:trPr>
        <w:tc>
          <w:tcPr>
            <w:tcW w:type="dxa" w:w="2500"/>
            <w:tcBorders>
              <w:top w:val="none" w:color="FFFFFF" w:sz="0"/>
              <w:left w:val="none" w:color="FFFFFF" w:sz="0"/>
              <w:bottom w:val="single" w:color="FFFFFF" w:sz="4"/>
              <w:right w:val="none" w:color="FFFFFF" w:sz="0"/>
            </w:tcBorders>
            <w:shd w:fill="F3F1EC" w:color="auto" w:val="clear"/>
            <w:tcMar>
              <w:top w:type="dxa" w:w="100"/>
              <w:left w:type="dxa" w:w="140"/>
              <w:bottom w:type="dxa" w:w="100"/>
              <w:right w:type="dxa" w:w="120"/>
            </w:tcMar>
          </w:tcPr>
          <w:p>
            <w:pPr>
              <w:spacing w:after="0"/>
            </w:pPr>
            <w:r>
              <w:rPr>
                <w:rFonts w:ascii="Nunito Sans" w:cs="Nunito Sans" w:eastAsia="Nunito Sans" w:hAnsi="Nunito Sans"/>
                <w:b/>
                <w:bCs/>
                <w:color w:val="5B6F78"/>
                <w:spacing w:val="20"/>
                <w:sz w:val="15"/>
                <w:szCs w:val="15"/>
              </w:rPr>
              <w:t xml:space="preserve">IDIOMA</w:t>
            </w:r>
          </w:p>
        </w:tc>
        <w:tc>
          <w:tcPr>
            <w:tcW w:type="dxa" w:w="7024"/>
            <w:tcBorders>
              <w:top w:val="none" w:color="FFFFFF" w:sz="0"/>
              <w:left w:val="none" w:color="FFFFFF" w:sz="0"/>
              <w:bottom w:val="single" w:color="D9DED8" w:sz="4"/>
              <w:right w:val="none" w:color="FFFFFF" w:sz="0"/>
            </w:tcBorders>
            <w:tcMar>
              <w:top w:type="dxa" w:w="100"/>
              <w:left w:type="dxa" w:w="160"/>
              <w:bottom w:type="dxa" w:w="100"/>
              <w:right w:type="dxa" w:w="120"/>
            </w:tcMar>
          </w:tcPr>
          <w:p>
            <w:pPr>
              <w:spacing w:after="0" w:line="260"/>
            </w:pP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 Traducciones: </w:t>
            </w:r>
            <w:r>
              <w:rPr>
                <w:rFonts w:ascii="Nunito Sans" w:cs="Nunito Sans" w:eastAsia="Nunito Sans" w:hAnsi="Nunito Sans"/>
                <w:color w:val="102E3B"/>
                <w:sz w:val="19"/>
                <w:szCs w:val="19"/>
                <w:highlight w:val="yellow"/>
              </w:rPr>
              <w:t xml:space="preserve">[idiomas, o “ninguna”]</w:t>
            </w:r>
            <w:r>
              <w:rPr>
                <w:rFonts w:ascii="Nunito Sans" w:cs="Nunito Sans" w:eastAsia="Nunito Sans" w:hAnsi="Nunito Sans"/>
                <w:color w:val="102E3B"/>
                <w:sz w:val="19"/>
                <w:szCs w:val="19"/>
              </w:rPr>
              <w:t xml:space="preserve">. Si las versiones difieren, prevalece la versión en </w:t>
            </w:r>
            <w:r>
              <w:rPr>
                <w:rFonts w:ascii="Nunito Sans" w:cs="Nunito Sans" w:eastAsia="Nunito Sans" w:hAnsi="Nunito Sans"/>
                <w:color w:val="102E3B"/>
                <w:sz w:val="19"/>
                <w:szCs w:val="19"/>
                <w:highlight w:val="yellow"/>
              </w:rPr>
              <w:t xml:space="preserve">[español]</w:t>
            </w:r>
            <w:r>
              <w:rPr>
                <w:rFonts w:ascii="Nunito Sans" w:cs="Nunito Sans" w:eastAsia="Nunito Sans" w:hAnsi="Nunito Sans"/>
                <w:color w:val="102E3B"/>
                <w:sz w:val="19"/>
                <w:szCs w:val="19"/>
              </w:rPr>
              <w:t xml:space="preserve">.</w:t>
            </w:r>
          </w:p>
        </w:tc>
      </w:tr>
    </w:tbl>
    <w:p>
      <w:pPr>
        <w:keepNext/>
        <w:spacing w:after="100" w:before="360"/>
      </w:pPr>
      <w:r>
        <w:rPr>
          <w:rFonts w:ascii="Nunito Sans" w:cs="Nunito Sans" w:eastAsia="Nunito Sans" w:hAnsi="Nunito Sans"/>
          <w:b/>
          <w:bCs/>
          <w:color w:val="16746E"/>
          <w:spacing w:val="30"/>
          <w:sz w:val="15"/>
          <w:szCs w:val="15"/>
        </w:rPr>
        <w:t xml:space="preserve">CONTENIDO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762"/>
        <w:gridCol w:w="4762"/>
      </w:tblGrid>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 quién se aplica esta política</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Si se incumple esta política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Qué entendemos por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Seguimiento y revisión</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Nuestros compromisos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Documentos relacionados</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Cómo responder e informar</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Declaración de conformidad</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Roles y responsabilidades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A: Formulario de reporte de una preocupación de salvaguarda</w:t>
            </w:r>
          </w:p>
        </w:tc>
      </w:tr>
      <w:tr>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Registros, confidencialidad y datos</w:t>
            </w:r>
          </w:p>
        </w:tc>
        <w:tc>
          <w:tcPr>
            <w:tcW w:type="dxa" w:w="4762"/>
            <w:tcBorders>
              <w:top w:val="none" w:color="FFFFFF" w:sz="0"/>
              <w:left w:val="none" w:color="FFFFFF" w:sz="0"/>
              <w:bottom w:val="dotted" w:color="D9DED8" w:sz="4"/>
              <w:right w:val="none" w:color="FFFFFF" w:sz="0"/>
            </w:tcBorders>
            <w:tcMar>
              <w:top w:type="dxa" w:w="60"/>
              <w:left w:type="dxa" w:w="300"/>
              <w:bottom w:type="dxa" w:w="60"/>
              <w:right w:type="dxa" w:w="120"/>
            </w:tcMar>
          </w:tcPr>
          <w:p>
            <w:pPr>
              <w:spacing w:after="0"/>
            </w:pPr>
            <w:r>
              <w:rPr>
                <w:rFonts w:ascii="Nunito Sans" w:cs="Nunito Sans" w:eastAsia="Nunito Sans" w:hAnsi="Nunito Sans"/>
                <w:color w:val="102E3B"/>
                <w:sz w:val="19"/>
                <w:szCs w:val="19"/>
              </w:rPr>
              <w:t xml:space="preserve">Anexo B: Mapa de la ruta de derivación</w:t>
            </w:r>
          </w:p>
        </w:tc>
      </w:tr>
    </w:tbl>
    <w:p>
      <w:r>
        <w:br w:type="page"/>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PROPORCIONAL A NUESTRO TAMAÑO</w:t>
            </w:r>
          </w:p>
          <w:p>
            <w:pPr>
              <w:spacing w:after="120" w:before="0" w:line="300"/>
            </w:pP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es una </w:t>
            </w:r>
            <w:r>
              <w:rPr>
                <w:rFonts w:ascii="Nunito Sans" w:cs="Nunito Sans" w:eastAsia="Nunito Sans" w:hAnsi="Nunito Sans"/>
                <w:color w:val="102E3B"/>
                <w:sz w:val="19"/>
                <w:szCs w:val="19"/>
                <w:highlight w:val="yellow"/>
              </w:rPr>
              <w:t xml:space="preserve">[organización pequeña de X personas / organización emergente dirigida por sus fundadores]</w:t>
            </w:r>
            <w:r>
              <w:rPr>
                <w:rFonts w:ascii="Nunito Sans" w:cs="Nunito Sans" w:eastAsia="Nunito Sans" w:hAnsi="Nunito Sans"/>
                <w:color w:val="102E3B"/>
                <w:sz w:val="19"/>
                <w:szCs w:val="19"/>
              </w:rPr>
              <w:t xml:space="preserve">. Esta es nuestra </w:t>
            </w:r>
            <w:r>
              <w:rPr>
                <w:rFonts w:ascii="Nunito Sans" w:cs="Nunito Sans" w:eastAsia="Nunito Sans" w:hAnsi="Nunito Sans"/>
                <w:color w:val="102E3B"/>
                <w:sz w:val="19"/>
                <w:szCs w:val="19"/>
                <w:highlight w:val="yellow"/>
              </w:rPr>
              <w:t xml:space="preserve">[primera]</w:t>
            </w:r>
            <w:r>
              <w:rPr>
                <w:rFonts w:ascii="Nunito Sans" w:cs="Nunito Sans" w:eastAsia="Nunito Sans" w:hAnsi="Nunito Sans"/>
                <w:color w:val="102E3B"/>
                <w:sz w:val="19"/>
                <w:szCs w:val="19"/>
              </w:rPr>
              <w:t xml:space="preserve"> versión de esta política: describe lo que hacemos ahora y quién lo hace. La ampliaremos a medida que crezcamos. Mientras tanto:</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responsable de salvaguarda.</w:t>
            </w:r>
            <w:r>
              <w:rPr>
                <w:rFonts w:ascii="Nunito Sans" w:cs="Nunito Sans" w:eastAsia="Nunito Sans" w:hAnsi="Nunito Sans"/>
                <w:color w:val="102E3B"/>
                <w:sz w:val="19"/>
                <w:szCs w:val="19"/>
              </w:rPr>
              <w:t xml:space="preserve"> Recibe las preocupaciones, decide las medidas de protección, realiza las derivaciones y lleva los registros que se describen aquí.</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 cargo]</w:t>
            </w:r>
            <w:r>
              <w:rPr>
                <w:rFonts w:ascii="Nunito Sans" w:cs="Nunito Sans" w:eastAsia="Nunito Sans" w:hAnsi="Nunito Sans"/>
                <w:b/>
                <w:bCs/>
                <w:color w:val="102E3B"/>
                <w:sz w:val="19"/>
                <w:szCs w:val="19"/>
              </w:rPr>
              <w:t xml:space="preserve"> es nuestra persona suplente o contacto independiente.</w:t>
            </w:r>
            <w:r>
              <w:rPr>
                <w:rFonts w:ascii="Nunito Sans" w:cs="Nunito Sans" w:eastAsia="Nunito Sans" w:hAnsi="Nunito Sans"/>
                <w:color w:val="102E3B"/>
                <w:sz w:val="19"/>
                <w:szCs w:val="19"/>
              </w:rPr>
              <w:t xml:space="preserve"> Gestiona cualquier preocupación sobre la persona responsable de salvaguarda, o en la que esta esté implicada, y cubre los casos urgentes cuando no se pueda localizar a la persona responsable durante más de </w:t>
            </w:r>
            <w:r>
              <w:rPr>
                <w:rFonts w:ascii="Nunito Sans" w:cs="Nunito Sans" w:eastAsia="Nunito Sans" w:hAnsi="Nunito Sans"/>
                <w:color w:val="102E3B"/>
                <w:sz w:val="19"/>
                <w:szCs w:val="19"/>
                <w:highlight w:val="yellow"/>
              </w:rPr>
              <w:t xml:space="preserve">[48 horas]</w:t>
            </w:r>
            <w:r>
              <w:rPr>
                <w:rFonts w:ascii="Nunito Sans" w:cs="Nunito Sans" w:eastAsia="Nunito Sans" w:hAnsi="Nunito Sans"/>
                <w:color w:val="102E3B"/>
                <w:sz w:val="19"/>
                <w:szCs w:val="19"/>
              </w:rPr>
              <w:t xml:space="preserve">.</w:t>
            </w:r>
          </w:p>
          <w:p>
            <w:pPr>
              <w:pStyle w:val="ListParagraph"/>
              <w:numPr>
                <w:ilvl w:val="0"/>
                <w:numId w:val="3"/>
              </w:numPr>
              <w:spacing w:after="80" w:line="290"/>
            </w:pPr>
            <w:r>
              <w:rPr>
                <w:rFonts w:ascii="Nunito Sans" w:cs="Nunito Sans" w:eastAsia="Nunito Sans" w:hAnsi="Nunito Sans"/>
                <w:b/>
                <w:bCs/>
                <w:color w:val="102E3B"/>
                <w:sz w:val="19"/>
                <w:szCs w:val="19"/>
                <w:highlight w:val="yellow"/>
              </w:rPr>
              <w:t xml:space="preserve">[Nombre]</w:t>
            </w:r>
            <w:r>
              <w:rPr>
                <w:rFonts w:ascii="Nunito Sans" w:cs="Nunito Sans" w:eastAsia="Nunito Sans" w:hAnsi="Nunito Sans"/>
                <w:b/>
                <w:bCs/>
                <w:color w:val="102E3B"/>
                <w:sz w:val="19"/>
                <w:szCs w:val="19"/>
              </w:rPr>
              <w:t xml:space="preserve"> es el miembro del órgano de gobierno a cargo de la salvaguarda.</w:t>
            </w:r>
            <w:r>
              <w:rPr>
                <w:rFonts w:ascii="Nunito Sans" w:cs="Nunito Sans" w:eastAsia="Nunito Sans" w:hAnsi="Nunito Sans"/>
                <w:color w:val="102E3B"/>
                <w:sz w:val="19"/>
                <w:szCs w:val="19"/>
              </w:rPr>
              <w:t xml:space="preserve"> Recibe un resumen de los casos y comprueba que se cumple esta política.</w:t>
            </w:r>
          </w:p>
          <w:p>
            <w:pPr>
              <w:pStyle w:val="ListParagraph"/>
              <w:numPr>
                <w:ilvl w:val="0"/>
                <w:numId w:val="3"/>
              </w:numPr>
              <w:spacing w:after="80" w:line="290"/>
            </w:pPr>
            <w:r>
              <w:rPr>
                <w:rFonts w:ascii="Nunito Sans" w:cs="Nunito Sans" w:eastAsia="Nunito Sans" w:hAnsi="Nunito Sans"/>
                <w:b/>
                <w:bCs/>
                <w:color w:val="102E3B"/>
                <w:sz w:val="19"/>
                <w:szCs w:val="19"/>
              </w:rPr>
              <w:t xml:space="preserve">Revisamos esta política</w:t>
            </w:r>
            <w:r>
              <w:rPr>
                <w:rFonts w:ascii="Nunito Sans" w:cs="Nunito Sans" w:eastAsia="Nunito Sans" w:hAnsi="Nunito Sans"/>
                <w:color w:val="102E3B"/>
                <w:sz w:val="19"/>
                <w:szCs w:val="19"/>
              </w:rPr>
              <w:t xml:space="preserve"> al menos una vez al año, cuando cambian nuestras actividades y después de cualquier incidente grave.</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QUIÉN OCUPA ESTOS ROLES</w:t>
            </w:r>
          </w:p>
          <w:p>
            <w:pPr>
              <w:spacing w:after="120" w:before="0" w:line="300"/>
            </w:pPr>
            <w:r>
              <w:rPr>
                <w:rFonts w:ascii="Nunito Sans" w:cs="Nunito Sans" w:eastAsia="Nunito Sans" w:hAnsi="Nunito Sans"/>
                <w:color w:val="102E3B"/>
                <w:sz w:val="19"/>
                <w:szCs w:val="19"/>
              </w:rPr>
              <w:t xml:space="preserve">Nombra a personas reales y comprueba que han aceptado. En una organización muy pequeña, la persona fundadora suele ser la responsable de salvaguarda. En ese caso, la persona suplente debe ser alguien a quien la fundadora no dirija, como un miembro del órgano de gobierno o una persona de confianza ajena a la organización, para que una preocupación sobre la fundadora tenga un lugar seguro adonde ir. La Nota sobre el Rol de Contacto Independiente explica este rol. Elige como responsable a alguien localizable durante las actividades y que tenga, o vaya a recibir, una formación reconocida en salvaguarda.</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6746E" w:sz="24"/>
              <w:bottom w:val="none" w:color="FFFFFF" w:sz="0"/>
              <w:right w:val="none" w:color="FFFFFF" w:sz="0"/>
            </w:tcBorders>
            <w:shd w:fill="EAF5EF"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6746E"/>
                <w:spacing w:val="30"/>
                <w:sz w:val="15"/>
                <w:szCs w:val="15"/>
              </w:rPr>
              <w:t xml:space="preserve">DE UN VISTAZO</w:t>
            </w:r>
          </w:p>
          <w:p>
            <w:pPr>
              <w:pStyle w:val="ListParagraph"/>
              <w:numPr>
                <w:ilvl w:val="0"/>
                <w:numId w:val="3"/>
              </w:numPr>
              <w:spacing w:after="80" w:line="290"/>
            </w:pPr>
            <w:r>
              <w:rPr>
                <w:rFonts w:ascii="Nunito Sans" w:cs="Nunito Sans" w:eastAsia="Nunito Sans" w:hAnsi="Nunito Sans"/>
                <w:color w:val="102E3B"/>
                <w:sz w:val="19"/>
                <w:szCs w:val="19"/>
              </w:rPr>
              <w:t xml:space="preserve">Tenemos tolerancia cero con el abuso, la explotación, el acoso o la negligencia, y con no actuar ante una preocupación.</w:t>
            </w:r>
          </w:p>
          <w:p>
            <w:pPr>
              <w:pStyle w:val="ListParagraph"/>
              <w:numPr>
                <w:ilvl w:val="0"/>
                <w:numId w:val="3"/>
              </w:numPr>
              <w:spacing w:after="80" w:line="290"/>
            </w:pPr>
            <w:r>
              <w:rPr>
                <w:rFonts w:ascii="Nunito Sans" w:cs="Nunito Sans" w:eastAsia="Nunito Sans" w:hAnsi="Nunito Sans"/>
                <w:color w:val="102E3B"/>
                <w:sz w:val="19"/>
                <w:szCs w:val="19"/>
              </w:rPr>
              <w:t xml:space="preserve">Esta política protege a niñas, niños y adolescentes (toda persona menor de 18 años) y a las personas adultas en situación de riesgo, y protege a todas las personas contra la explotación, el abuso y el acoso sexuales.</w:t>
            </w:r>
          </w:p>
          <w:p>
            <w:pPr>
              <w:pStyle w:val="ListParagraph"/>
              <w:numPr>
                <w:ilvl w:val="0"/>
                <w:numId w:val="3"/>
              </w:numPr>
              <w:spacing w:after="80" w:line="290"/>
            </w:pPr>
            <w:r>
              <w:rPr>
                <w:rFonts w:ascii="Nunito Sans" w:cs="Nunito Sans" w:eastAsia="Nunito Sans" w:hAnsi="Nunito Sans"/>
                <w:color w:val="102E3B"/>
                <w:sz w:val="19"/>
                <w:szCs w:val="19"/>
              </w:rPr>
              <w:t xml:space="preserve">Seguimos los seis principios básicos del IASC. Ninguna actividad sexual con personas menores de 18 años. Ningún intercambio de ayuda, dinero o trabajo por sexo.</w:t>
            </w:r>
          </w:p>
          <w:p>
            <w:pPr>
              <w:pStyle w:val="ListParagraph"/>
              <w:numPr>
                <w:ilvl w:val="0"/>
                <w:numId w:val="3"/>
              </w:numPr>
              <w:spacing w:after="80" w:line="290"/>
            </w:pPr>
            <w:r>
              <w:rPr>
                <w:rFonts w:ascii="Nunito Sans" w:cs="Nunito Sans" w:eastAsia="Nunito Sans" w:hAnsi="Nunito Sans"/>
                <w:color w:val="102E3B"/>
                <w:sz w:val="19"/>
                <w:szCs w:val="19"/>
              </w:rPr>
              <w:t xml:space="preserve">Si alguien corre un peligro inmediato, contacte primero con los servicios de emergencia. Después, informe a la persona responsable de salvaguarda en un plazo de </w:t>
            </w:r>
            <w:r>
              <w:rPr>
                <w:rFonts w:ascii="Nunito Sans" w:cs="Nunito Sans" w:eastAsia="Nunito Sans" w:hAnsi="Nunito Sans"/>
                <w:color w:val="102E3B"/>
                <w:sz w:val="19"/>
                <w:szCs w:val="19"/>
                <w:highlight w:val="yellow"/>
              </w:rPr>
              <w:t xml:space="preserve">[24 horas]</w:t>
            </w:r>
            <w:r>
              <w:rPr>
                <w:rFonts w:ascii="Nunito Sans" w:cs="Nunito Sans" w:eastAsia="Nunito Sans" w:hAnsi="Nunito Sans"/>
                <w:color w:val="102E3B"/>
                <w:sz w:val="19"/>
                <w:szCs w:val="19"/>
              </w:rPr>
              <w:t xml:space="preserve">. No necesita pruebas.</w:t>
            </w:r>
          </w:p>
          <w:p>
            <w:pPr>
              <w:pStyle w:val="ListParagraph"/>
              <w:numPr>
                <w:ilvl w:val="0"/>
                <w:numId w:val="3"/>
              </w:numPr>
              <w:spacing w:after="80" w:line="290"/>
            </w:pPr>
            <w:r>
              <w:rPr>
                <w:rFonts w:ascii="Nunito Sans" w:cs="Nunito Sans" w:eastAsia="Nunito Sans" w:hAnsi="Nunito Sans"/>
                <w:color w:val="102E3B"/>
                <w:sz w:val="19"/>
                <w:szCs w:val="19"/>
              </w:rPr>
              <w:t xml:space="preserve">Si alguien le cuenta que ha sufrido un daño: escuche, tranquilice, no investigue y anote lo que dijo con sus propias palabras.</w:t>
            </w:r>
          </w:p>
          <w:p>
            <w:pPr>
              <w:pStyle w:val="ListParagraph"/>
              <w:numPr>
                <w:ilvl w:val="0"/>
                <w:numId w:val="3"/>
              </w:numPr>
              <w:spacing w:after="80" w:line="290"/>
            </w:pPr>
            <w:r>
              <w:rPr>
                <w:rFonts w:ascii="Nunito Sans" w:cs="Nunito Sans" w:eastAsia="Nunito Sans" w:hAnsi="Nunito Sans"/>
                <w:color w:val="102E3B"/>
                <w:sz w:val="19"/>
                <w:szCs w:val="19"/>
              </w:rPr>
              <w:t xml:space="preserve">Damos prioridad a la seguridad y los deseos de la persona sobreviviente. Cumplimos la ley sobre la notificación obligatoria y nunca derivamos a una persona adulta sobreviviente de una forma que la ponga en mayor riesgo.</w:t>
            </w:r>
          </w:p>
          <w:p>
            <w:pPr>
              <w:pStyle w:val="ListParagraph"/>
              <w:numPr>
                <w:ilvl w:val="0"/>
                <w:numId w:val="3"/>
              </w:numPr>
              <w:spacing w:after="80" w:line="290"/>
            </w:pPr>
            <w:r>
              <w:rPr>
                <w:rFonts w:ascii="Nunito Sans" w:cs="Nunito Sans" w:eastAsia="Nunito Sans" w:hAnsi="Nunito Sans"/>
                <w:color w:val="102E3B"/>
                <w:sz w:val="19"/>
                <w:szCs w:val="19"/>
              </w:rPr>
              <w:t xml:space="preserve">Contratamos de forma segura, formamos a nuestro equipo y exigimos las mismas normas a nuestros socios y contratistas.</w:t>
            </w:r>
          </w:p>
          <w:p>
            <w:pPr>
              <w:pStyle w:val="ListParagraph"/>
              <w:numPr>
                <w:ilvl w:val="0"/>
                <w:numId w:val="3"/>
              </w:numPr>
              <w:spacing w:after="80" w:line="290"/>
            </w:pPr>
            <w:r>
              <w:rPr>
                <w:rFonts w:ascii="Nunito Sans" w:cs="Nunito Sans" w:eastAsia="Nunito Sans" w:hAnsi="Nunito Sans"/>
                <w:color w:val="102E3B"/>
                <w:sz w:val="19"/>
                <w:szCs w:val="19"/>
              </w:rPr>
              <w:t xml:space="preserve">Las preocupaciones sobre la persona responsable de salvaguarda se dirigen a </w:t>
            </w:r>
            <w:r>
              <w:rPr>
                <w:rFonts w:ascii="Nunito Sans" w:cs="Nunito Sans" w:eastAsia="Nunito Sans" w:hAnsi="Nunito Sans"/>
                <w:color w:val="102E3B"/>
                <w:sz w:val="19"/>
                <w:szCs w:val="19"/>
                <w:highlight w:val="yellow"/>
              </w:rPr>
              <w:t xml:space="preserve">[Nombre, cargo]</w:t>
            </w:r>
            <w:r>
              <w:rPr>
                <w:rFonts w:ascii="Nunito Sans" w:cs="Nunito Sans" w:eastAsia="Nunito Sans" w:hAnsi="Nunito Sans"/>
                <w:color w:val="102E3B"/>
                <w:sz w:val="19"/>
                <w:szCs w:val="19"/>
              </w:rPr>
              <w:t xml:space="preserv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 quién se aplica esta política</w:t>
      </w:r>
    </w:p>
    <w:p>
      <w:pPr>
        <w:spacing w:after="120" w:before="0" w:line="300"/>
      </w:pPr>
      <w:r>
        <w:rPr>
          <w:rFonts w:ascii="Nunito Sans" w:cs="Nunito Sans" w:eastAsia="Nunito Sans" w:hAnsi="Nunito Sans"/>
          <w:color w:val="102E3B"/>
          <w:sz w:val="20"/>
          <w:szCs w:val="20"/>
        </w:rPr>
        <w:t xml:space="preserve">Esta política se aplica a todas las personas que trabajan con o para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el personal, las personas voluntarias y en prácticas, los miembros del órgano de gobierno </w:t>
      </w:r>
      <w:r>
        <w:rPr>
          <w:rFonts w:ascii="Nunito Sans" w:cs="Nunito Sans" w:eastAsia="Nunito Sans" w:hAnsi="Nunito Sans"/>
          <w:color w:val="102E3B"/>
          <w:sz w:val="20"/>
          <w:szCs w:val="20"/>
          <w:highlight w:val="yellow"/>
        </w:rPr>
        <w:t xml:space="preserve">[patronato / junta directiva / comité]</w:t>
      </w:r>
      <w:r>
        <w:rPr>
          <w:rFonts w:ascii="Nunito Sans" w:cs="Nunito Sans" w:eastAsia="Nunito Sans" w:hAnsi="Nunito Sans"/>
          <w:color w:val="102E3B"/>
          <w:sz w:val="20"/>
          <w:szCs w:val="20"/>
        </w:rPr>
        <w:t xml:space="preserve"> y las personas asesoras, y los contratistas y consultores, incluidas las personas que conducen, traducen, fotografían o investigan. También se aplica al personal de los socios mientras ejecutan proyectos con nosotros, a través de nuestro acuerdo con el socio, y a visitantes como financiadores y periodistas mientras participan en nuestras actividades.</w:t>
      </w:r>
    </w:p>
    <w:p>
      <w:pPr>
        <w:spacing w:after="120" w:before="0" w:line="300"/>
      </w:pPr>
      <w:r>
        <w:rPr>
          <w:rFonts w:ascii="Nunito Sans" w:cs="Nunito Sans" w:eastAsia="Nunito Sans" w:hAnsi="Nunito Sans"/>
          <w:color w:val="102E3B"/>
          <w:sz w:val="20"/>
          <w:szCs w:val="20"/>
        </w:rPr>
        <w:t xml:space="preserve">Se aplica en nuestras oficinas y lugares de proyecto, en eventos, durante los viajes, en línea y fuera del horario laboral cuando su conducta pueda afectar a las personas a las que servimos, incluido el contacto que comenzó a través de nuestro trabajo y continuó en el ámbito privado.</w:t>
      </w:r>
    </w:p>
    <w:p>
      <w:pPr>
        <w:spacing w:after="120" w:before="0" w:line="300"/>
      </w:pPr>
      <w:r>
        <w:rPr>
          <w:rFonts w:ascii="Nunito Sans" w:cs="Nunito Sans" w:eastAsia="Nunito Sans" w:hAnsi="Nunito Sans"/>
          <w:b/>
          <w:bCs/>
          <w:color w:val="102E3B"/>
          <w:sz w:val="20"/>
          <w:szCs w:val="20"/>
        </w:rPr>
        <w:t xml:space="preserve">Ley.</w:t>
      </w:r>
      <w:r>
        <w:rPr>
          <w:rFonts w:ascii="Nunito Sans" w:cs="Nunito Sans" w:eastAsia="Nunito Sans" w:hAnsi="Nunito Sans"/>
          <w:color w:val="102E3B"/>
          <w:sz w:val="20"/>
          <w:szCs w:val="20"/>
        </w:rPr>
        <w:t xml:space="preserve"> </w:t>
      </w: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está registrada en </w:t>
      </w:r>
      <w:r>
        <w:rPr>
          <w:rFonts w:ascii="Nunito Sans" w:cs="Nunito Sans" w:eastAsia="Nunito Sans" w:hAnsi="Nunito Sans"/>
          <w:color w:val="102E3B"/>
          <w:sz w:val="20"/>
          <w:szCs w:val="20"/>
          <w:highlight w:val="yellow"/>
        </w:rPr>
        <w:t xml:space="preserve">[país]</w:t>
      </w:r>
      <w:r>
        <w:rPr>
          <w:rFonts w:ascii="Nunito Sans" w:cs="Nunito Sans" w:eastAsia="Nunito Sans" w:hAnsi="Nunito Sans"/>
          <w:color w:val="102E3B"/>
          <w:sz w:val="20"/>
          <w:szCs w:val="20"/>
        </w:rPr>
        <w:t xml:space="preserve"> y cumple sus leyes. Cuando trabajamos en otros países, también cumplimos la ley que se aplica allí. Cuando esta política, la política de un socio o de un financiador y la ley difieren, seguimos la norma que ofrece más protección a las personas.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LEY Y PAÍSES</w:t>
            </w:r>
          </w:p>
          <w:p>
            <w:pPr>
              <w:spacing w:after="120" w:before="0" w:line="300"/>
            </w:pPr>
            <w:r>
              <w:rPr>
                <w:rFonts w:ascii="Nunito Sans" w:cs="Nunito Sans" w:eastAsia="Nunito Sans" w:hAnsi="Nunito Sans"/>
                <w:color w:val="102E3B"/>
                <w:sz w:val="19"/>
                <w:szCs w:val="19"/>
              </w:rPr>
              <w:t xml:space="preserve">Indica el país donde estás registrada y cada país donde realizas actividades. Para cada uno, consulta con un abogado local o con el organismo de protección de la infancia: la definición legal de niño o niña y cualquier norma especial para jóvenes de 16 y 17 años; si alguien está obligado a denunciar una sospecha de abuso infantil (consulta el recuadro sobre notificación obligatoria); y si existen certificados de antecedentes penales y si se pueden solicitar legalmente para tus roles. Si trabajas en un solo país, elimina la segunda frase.</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Qué entendemos por</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7048"/>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TÉRMINO</w:t>
            </w:r>
          </w:p>
        </w:tc>
        <w:tc>
          <w:tcPr>
            <w:tcW w:type="dxa" w:w="7048"/>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SIGNIFICADO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Niño, niña o adolescente</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Toda persona menor de 18 años, sea cual sea la edad local de mayoría de edad o de consentimiento sexual, de acuerdo con la Convención sobre los Derechos del Niño de las Naciones Unidas (1989).</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adulta en situación de riesgo</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Una persona de 18 años o más que puede tener menos capacidad para protegerse del daño debido a sus circunstancias: por ejemplo, discapacidad, enfermedad, edad avanzada, trauma, desplazamiento, detención, pobreza extrema, estigma o dependencia de otras personas, incluida la dependencia de nosotros. Puede ser temporal y no significa que la persona no pueda tomar sus propias decisiones.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Abuso y daño</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Daño físico, sexual, emocional, económico y discriminatorio, negligencia y explotación, como el trabajo infantil o la trata, en persona o en línea.</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Explotación sexual</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Abusar de una situación de vulnerabilidad, poder o confianza con fines sexuales, incluido para obtener un beneficio económico, social o político.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Abuso sexual</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Intrusión física de carácter sexual, real o en forma de amenaza, por la fuerza o en condiciones de desigualdad o coerción. En el caso de niñas, niños y adolescentes, cualquier actividad sexual, mensajes o imágenes sexuales, o exposición a material sexual.</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Acoso sexual</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Conducta no deseada de carácter sexual que atenta contra la dignidad de una persona o crea un entorno intimidatorio, hostil o humillante, también entre colegas.</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EAAS</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explotación, el abuso y el acoso sexuales en su conjunto.</w:t>
            </w: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Captación (grooming)</w:t>
            </w:r>
          </w:p>
        </w:tc>
        <w:tc>
          <w:tcPr>
            <w:tcW w:type="dxa" w:w="7048"/>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Ganarse la confianza de un niño, niña o persona adulta, y a menudo de su familia, para abusar de ella o explotarla. Ocurre con frecuencia en línea.</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sobreviviente</w:t>
            </w:r>
          </w:p>
        </w:tc>
        <w:tc>
          <w:tcPr>
            <w:tcW w:type="dxa" w:w="7048"/>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La persona que ha sufrido el daño. Usamos la palabra que ella prefiera.</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Nuestros compromisos</w:t>
      </w:r>
    </w:p>
    <w:p>
      <w:pPr>
        <w:pStyle w:val="Heading2"/>
        <w:keepNext/>
        <w:spacing w:after="120" w:before="280"/>
      </w:pPr>
      <w:r>
        <w:rPr>
          <w:rFonts w:ascii="DM Serif Display" w:cs="DM Serif Display" w:eastAsia="DM Serif Display" w:hAnsi="DM Serif Display"/>
          <w:color w:val="123C48"/>
          <w:sz w:val="28"/>
          <w:szCs w:val="28"/>
        </w:rPr>
        <w:t xml:space="preserve">1. Nuestros principios</w:t>
      </w:r>
    </w:p>
    <w:p>
      <w:pPr>
        <w:spacing w:after="120" w:before="0" w:line="300"/>
      </w:pPr>
      <w:r>
        <w:rPr>
          <w:rFonts w:ascii="Nunito Sans" w:cs="Nunito Sans" w:eastAsia="Nunito Sans" w:hAnsi="Nunito Sans"/>
          <w:color w:val="102E3B"/>
          <w:sz w:val="20"/>
          <w:szCs w:val="20"/>
        </w:rPr>
        <w:t xml:space="preserve">Damos prioridad a la seguridad, la dignidad y el interés superior de niñas, niños y adolescentes y de las personas adultas en situación de riesgo. Nuestra respuesta se centra en la persona sobreviviente: su seguridad, sus deseos, su confidencialidad y su dignidad guían lo que hacemos. Procuramos no causar daño, tampoco con nuestra respuesta. Prestamos especial atención a las personas a las que les cuesta más hacerse oír. La cultura nunca es una excusa para el daño.</w:t>
      </w:r>
    </w:p>
    <w:p>
      <w:pPr>
        <w:pStyle w:val="Heading2"/>
        <w:keepNext/>
        <w:spacing w:after="120" w:before="280"/>
      </w:pPr>
      <w:r>
        <w:rPr>
          <w:rFonts w:ascii="DM Serif Display" w:cs="DM Serif Display" w:eastAsia="DM Serif Display" w:hAnsi="DM Serif Display"/>
          <w:color w:val="123C48"/>
          <w:sz w:val="28"/>
          <w:szCs w:val="28"/>
        </w:rPr>
        <w:t xml:space="preserve">2. Protección contra la explotación, el abuso y el acoso sexuales</w:t>
      </w:r>
    </w:p>
    <w:p>
      <w:pPr>
        <w:spacing w:after="120" w:before="0" w:line="300"/>
      </w:pPr>
      <w:r>
        <w:rPr>
          <w:rFonts w:ascii="Nunito Sans" w:cs="Nunito Sans" w:eastAsia="Nunito Sans" w:hAnsi="Nunito Sans"/>
          <w:color w:val="102E3B"/>
          <w:sz w:val="20"/>
          <w:szCs w:val="20"/>
          <w:highlight w:val="yellow"/>
        </w:rPr>
        <w:t xml:space="preserve">[Nombre de la organización]</w:t>
      </w:r>
      <w:r>
        <w:rPr>
          <w:rFonts w:ascii="Nunito Sans" w:cs="Nunito Sans" w:eastAsia="Nunito Sans" w:hAnsi="Nunito Sans"/>
          <w:color w:val="102E3B"/>
          <w:sz w:val="20"/>
          <w:szCs w:val="20"/>
        </w:rPr>
        <w:t xml:space="preserve"> sigue los Seis Principios Básicos relativos a la Explotación y el Abuso Sexuales (2019) del Comité Permanente entre Organismos (IASC):</w:t>
      </w:r>
    </w:p>
    <w:p>
      <w:pPr>
        <w:pStyle w:val="ListParagraph"/>
        <w:numPr>
          <w:ilvl w:val="0"/>
          <w:numId w:val="4"/>
        </w:numPr>
        <w:spacing w:after="80" w:line="290"/>
      </w:pPr>
      <w:r>
        <w:rPr>
          <w:rFonts w:ascii="Nunito Sans" w:cs="Nunito Sans" w:eastAsia="Nunito Sans" w:hAnsi="Nunito Sans"/>
          <w:color w:val="102E3B"/>
          <w:sz w:val="20"/>
          <w:szCs w:val="20"/>
        </w:rPr>
        <w:t xml:space="preserve">La explotación y el abuso sexuales constituyen faltas muy graves y son motivo de despido o de terminación de cualquier acuerdo con nosotros.</w:t>
      </w:r>
    </w:p>
    <w:p>
      <w:pPr>
        <w:pStyle w:val="ListParagraph"/>
        <w:numPr>
          <w:ilvl w:val="0"/>
          <w:numId w:val="4"/>
        </w:numPr>
        <w:spacing w:after="80" w:line="290"/>
      </w:pPr>
      <w:r>
        <w:rPr>
          <w:rFonts w:ascii="Nunito Sans" w:cs="Nunito Sans" w:eastAsia="Nunito Sans" w:hAnsi="Nunito Sans"/>
          <w:color w:val="102E3B"/>
          <w:sz w:val="20"/>
          <w:szCs w:val="20"/>
        </w:rPr>
        <w:t xml:space="preserve">Se prohíbe la actividad sexual con cualquier persona menor de 18 años, sea cual sea la edad local de mayoría de edad o de consentimiento. Equivocarse sobre la edad no es una defensa.</w:t>
      </w:r>
    </w:p>
    <w:p>
      <w:pPr>
        <w:pStyle w:val="ListParagraph"/>
        <w:numPr>
          <w:ilvl w:val="0"/>
          <w:numId w:val="4"/>
        </w:numPr>
        <w:spacing w:after="80" w:line="290"/>
      </w:pPr>
      <w:r>
        <w:rPr>
          <w:rFonts w:ascii="Nunito Sans" w:cs="Nunito Sans" w:eastAsia="Nunito Sans" w:hAnsi="Nunito Sans"/>
          <w:color w:val="102E3B"/>
          <w:sz w:val="20"/>
          <w:szCs w:val="20"/>
        </w:rPr>
        <w:t xml:space="preserve">Se prohíbe intercambiar dinero, empleo, bienes, servicios o asistencia por sexo, favores sexuales o cualquier otro comportamiento humillante, degradante o de explotación. Esto incluye la asistencia que se debe a las personas a las que servimos. </w:t>
      </w:r>
      <w:r>
        <w:rPr>
          <w:rFonts w:ascii="Nunito Sans" w:cs="Nunito Sans" w:eastAsia="Nunito Sans" w:hAnsi="Nunito Sans"/>
          <w:color w:val="102E3B"/>
          <w:sz w:val="20"/>
          <w:szCs w:val="20"/>
          <w:highlight w:val="yellow"/>
        </w:rPr>
        <w:t xml:space="preserve">[También prohibimos pagar por sexo mientras se trabaja para nosotros, incluso donde sea legal.]</w:t>
      </w:r>
    </w:p>
    <w:p>
      <w:pPr>
        <w:pStyle w:val="ListParagraph"/>
        <w:numPr>
          <w:ilvl w:val="0"/>
          <w:numId w:val="4"/>
        </w:numPr>
        <w:spacing w:after="80" w:line="290"/>
      </w:pPr>
      <w:r>
        <w:rPr>
          <w:rFonts w:ascii="Nunito Sans" w:cs="Nunito Sans" w:eastAsia="Nunito Sans" w:hAnsi="Nunito Sans"/>
          <w:color w:val="102E3B"/>
          <w:sz w:val="20"/>
          <w:szCs w:val="20"/>
        </w:rPr>
        <w:t xml:space="preserve">Se prohíben las relaciones sexuales con las personas a las que servimos que impliquen un uso indebido del rango o la posición. Socavan la integridad de nuestro trabajo. Cualquier relación con una persona a la que servimos debe declararse a la persona responsable de salvaguarda.</w:t>
      </w:r>
    </w:p>
    <w:p>
      <w:pPr>
        <w:pStyle w:val="ListParagraph"/>
        <w:numPr>
          <w:ilvl w:val="0"/>
          <w:numId w:val="4"/>
        </w:numPr>
        <w:spacing w:after="80" w:line="290"/>
      </w:pPr>
      <w:r>
        <w:rPr>
          <w:rFonts w:ascii="Nunito Sans" w:cs="Nunito Sans" w:eastAsia="Nunito Sans" w:hAnsi="Nunito Sans"/>
          <w:color w:val="102E3B"/>
          <w:sz w:val="20"/>
          <w:szCs w:val="20"/>
        </w:rPr>
        <w:t xml:space="preserve">Cualquier persona que tenga una preocupación o sospecha sobre explotación o abuso sexuales por parte de alguien vinculado a nosotros debe informar de ello.</w:t>
      </w:r>
    </w:p>
    <w:p>
      <w:pPr>
        <w:pStyle w:val="ListParagraph"/>
        <w:numPr>
          <w:ilvl w:val="0"/>
          <w:numId w:val="4"/>
        </w:numPr>
        <w:spacing w:after="80" w:line="290"/>
      </w:pPr>
      <w:r>
        <w:rPr>
          <w:rFonts w:ascii="Nunito Sans" w:cs="Nunito Sans" w:eastAsia="Nunito Sans" w:hAnsi="Nunito Sans"/>
          <w:color w:val="102E3B"/>
          <w:sz w:val="20"/>
          <w:szCs w:val="20"/>
        </w:rPr>
        <w:t xml:space="preserve">Todas las personas deben ayudar a mantener un entorno que prevenga la explotación y el abuso sexuales. Las personas con funciones de dirección y los miembros del órgano de gobierno tienen un deber especial de crear y apoyar los sistemas que lo hacen posible.</w:t>
      </w:r>
    </w:p>
    <w:p>
      <w:pPr>
        <w:spacing w:after="120" w:before="0" w:line="300"/>
      </w:pPr>
      <w:r>
        <w:rPr>
          <w:rFonts w:ascii="Nunito Sans" w:cs="Nunito Sans" w:eastAsia="Nunito Sans" w:hAnsi="Nunito Sans"/>
          <w:color w:val="102E3B"/>
          <w:sz w:val="20"/>
          <w:szCs w:val="20"/>
        </w:rPr>
        <w:t xml:space="preserve">El acoso sexual a cualquier persona, incluidos colegas y personal de los socios, también incumple esta política. Nuestra Política y Procedimiento contra el Acoso, la Intimidación y el Hostigamiento explica cómo lo gestionamos entre colegas.</w:t>
      </w:r>
    </w:p>
    <w:p>
      <w:pPr>
        <w:pStyle w:val="Heading2"/>
        <w:keepNext/>
        <w:spacing w:after="120" w:before="280"/>
      </w:pPr>
      <w:r>
        <w:rPr>
          <w:rFonts w:ascii="DM Serif Display" w:cs="DM Serif Display" w:eastAsia="DM Serif Display" w:hAnsi="DM Serif Display"/>
          <w:color w:val="123C48"/>
          <w:sz w:val="28"/>
          <w:szCs w:val="28"/>
        </w:rPr>
        <w:t xml:space="preserve">3. Actividades seguras</w:t>
      </w:r>
    </w:p>
    <w:p>
      <w:pPr>
        <w:spacing w:after="120" w:before="0" w:line="300"/>
      </w:pPr>
      <w:r>
        <w:rPr>
          <w:rFonts w:ascii="Nunito Sans" w:cs="Nunito Sans" w:eastAsia="Nunito Sans" w:hAnsi="Nunito Sans"/>
          <w:color w:val="102E3B"/>
          <w:sz w:val="20"/>
          <w:szCs w:val="20"/>
        </w:rPr>
        <w:t xml:space="preserve">Antes de cualquier actividad con niñas, niños y adolescentes o con personas adultas en situación de riesgo, la persona responsable de la actividad y la persona responsable de salvaguarda completan una breve evaluación de riesgos: quién participa, quién tiene contacto con esas personas, qué información recopilamos, cómo pueden las personas participantes plantear una preocupación y adónde podemos derivar a alguien (Anexo B). Normas mínimas:</w:t>
      </w:r>
    </w:p>
    <w:p>
      <w:pPr>
        <w:pStyle w:val="ListParagraph"/>
        <w:numPr>
          <w:ilvl w:val="0"/>
          <w:numId w:val="3"/>
        </w:numPr>
        <w:spacing w:after="80" w:line="290"/>
      </w:pPr>
      <w:r>
        <w:rPr>
          <w:rFonts w:ascii="Nunito Sans" w:cs="Nunito Sans" w:eastAsia="Nunito Sans" w:hAnsi="Nunito Sans"/>
          <w:color w:val="102E3B"/>
          <w:sz w:val="20"/>
          <w:szCs w:val="20"/>
        </w:rPr>
        <w:t xml:space="preserve">Hay al menos dos personas adultas presentes, o la actividad se realiza a la vista de otras personas. Cualquier contacto individual se acuerda de antemano con la persona responsable de salvaguarda y se registra.</w:t>
      </w:r>
    </w:p>
    <w:p>
      <w:pPr>
        <w:pStyle w:val="ListParagraph"/>
        <w:numPr>
          <w:ilvl w:val="0"/>
          <w:numId w:val="3"/>
        </w:numPr>
        <w:spacing w:after="80" w:line="290"/>
      </w:pPr>
      <w:r>
        <w:rPr>
          <w:rFonts w:ascii="Nunito Sans" w:cs="Nunito Sans" w:eastAsia="Nunito Sans" w:hAnsi="Nunito Sans"/>
          <w:color w:val="102E3B"/>
          <w:sz w:val="20"/>
          <w:szCs w:val="20"/>
        </w:rPr>
        <w:t xml:space="preserve">Ningún niño, niña o adolescente se queda con una persona voluntaria o visitante que no haya pasado por el proceso de contratación segura.</w:t>
      </w:r>
    </w:p>
    <w:p>
      <w:pPr>
        <w:pStyle w:val="ListParagraph"/>
        <w:numPr>
          <w:ilvl w:val="0"/>
          <w:numId w:val="3"/>
        </w:numPr>
        <w:spacing w:after="80" w:line="290"/>
      </w:pPr>
      <w:r>
        <w:rPr>
          <w:rFonts w:ascii="Nunito Sans" w:cs="Nunito Sans" w:eastAsia="Nunito Sans" w:hAnsi="Nunito Sans"/>
          <w:color w:val="102E3B"/>
          <w:sz w:val="20"/>
          <w:szCs w:val="20"/>
        </w:rPr>
        <w:t xml:space="preserve">Obtenemos el consentimiento informado de las personas participantes, y de un padre, madre o tutor en el caso de niñas, niños y adolescentes, antes de las actividades, de tomar fotografías o de recopilar datos personales.</w:t>
      </w:r>
    </w:p>
    <w:p>
      <w:pPr>
        <w:pStyle w:val="ListParagraph"/>
        <w:numPr>
          <w:ilvl w:val="0"/>
          <w:numId w:val="3"/>
        </w:numPr>
        <w:spacing w:after="80" w:line="290"/>
      </w:pPr>
      <w:r>
        <w:rPr>
          <w:rFonts w:ascii="Nunito Sans" w:cs="Nunito Sans" w:eastAsia="Nunito Sans" w:hAnsi="Nunito Sans"/>
          <w:color w:val="102E3B"/>
          <w:sz w:val="20"/>
          <w:szCs w:val="20"/>
        </w:rPr>
        <w:t xml:space="preserve">No transportamos a las personas participantes en vehículos privados, salvo que la persona responsable de salvaguarda lo autorice y haya una segunda persona adulta presente.</w:t>
      </w:r>
    </w:p>
    <w:p>
      <w:pPr>
        <w:pStyle w:val="ListParagraph"/>
        <w:numPr>
          <w:ilvl w:val="0"/>
          <w:numId w:val="3"/>
        </w:numPr>
        <w:spacing w:after="80" w:line="290"/>
      </w:pPr>
      <w:r>
        <w:rPr>
          <w:rFonts w:ascii="Nunito Sans" w:cs="Nunito Sans" w:eastAsia="Nunito Sans" w:hAnsi="Nunito Sans"/>
          <w:color w:val="102E3B"/>
          <w:sz w:val="20"/>
          <w:szCs w:val="20"/>
        </w:rPr>
        <w:t xml:space="preserve">No organizamos visitas a centros residenciales de acogida de menores ni voluntariados de corta duración en orfanatos.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TUS ACTIVIDADES</w:t>
            </w:r>
          </w:p>
          <w:p>
            <w:pPr>
              <w:spacing w:after="120" w:before="0" w:line="300"/>
            </w:pPr>
            <w:r>
              <w:rPr>
                <w:rFonts w:ascii="Nunito Sans" w:cs="Nunito Sans" w:eastAsia="Nunito Sans" w:hAnsi="Nunito Sans"/>
                <w:color w:val="102E3B"/>
                <w:sz w:val="19"/>
                <w:szCs w:val="19"/>
              </w:rPr>
              <w:t xml:space="preserve">Conserva las normas que correspondan a lo que haces y añade normas para tu contexto: viajes con pernoctación, visitas a domicilios, deporte, sesiones de salud, distribuciones o trabajo en campamentos o centros de detención. Si no tienes contacto directo con niñas, niños y adolescentes ni con personas adultas en situación de riesgo (por ejemplo, si solo financias o formas a otras organizaciones), indícalo, pero mantén el deber de informar y las normas para socios de la sección 7. Añade los riesgos de salvaguarda a tu Registro de Riesgos.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4. Contratación segura</w:t>
      </w:r>
    </w:p>
    <w:p>
      <w:pPr>
        <w:spacing w:after="120" w:before="0" w:line="300"/>
      </w:pPr>
      <w:r>
        <w:rPr>
          <w:rFonts w:ascii="Nunito Sans" w:cs="Nunito Sans" w:eastAsia="Nunito Sans" w:hAnsi="Nunito Sans"/>
          <w:color w:val="102E3B"/>
          <w:sz w:val="20"/>
          <w:szCs w:val="20"/>
        </w:rPr>
        <w:t xml:space="preserve">Para cada rol, remunerado o no, que implique contacto con niñas, niños y adolescentes o con personas adultas en situación de riesgo, o acceso a su información personal:</w:t>
      </w:r>
    </w:p>
    <w:p>
      <w:pPr>
        <w:pStyle w:val="ListParagraph"/>
        <w:numPr>
          <w:ilvl w:val="0"/>
          <w:numId w:val="5"/>
        </w:numPr>
        <w:spacing w:after="80" w:line="290"/>
      </w:pPr>
      <w:r>
        <w:rPr>
          <w:rFonts w:ascii="Nunito Sans" w:cs="Nunito Sans" w:eastAsia="Nunito Sans" w:hAnsi="Nunito Sans"/>
          <w:color w:val="102E3B"/>
          <w:sz w:val="20"/>
          <w:szCs w:val="20"/>
        </w:rPr>
        <w:t xml:space="preserve">declaramos nuestro compromiso con la salvaguarda en el anuncio y en la descripción del rol, y hacemos una pregunta sobre salvaguarda en la entrevista;</w:t>
      </w:r>
    </w:p>
    <w:p>
      <w:pPr>
        <w:pStyle w:val="ListParagraph"/>
        <w:numPr>
          <w:ilvl w:val="0"/>
          <w:numId w:val="5"/>
        </w:numPr>
        <w:spacing w:after="80" w:line="290"/>
      </w:pPr>
      <w:r>
        <w:rPr>
          <w:rFonts w:ascii="Nunito Sans" w:cs="Nunito Sans" w:eastAsia="Nunito Sans" w:hAnsi="Nunito Sans"/>
          <w:color w:val="102E3B"/>
          <w:sz w:val="20"/>
          <w:szCs w:val="20"/>
        </w:rPr>
        <w:t xml:space="preserve">pedimos una autodeclaración firmada de que la persona candidata no ha sido despedida ni condenada, ni ha dejado un puesto durante una investigación, por explotación, abuso o acoso sexuales o por delitos contra niñas, niños y adolescentes o personas adultas en situación de riesgo, y de que no tiene prohibido realizar ese tipo de trabajo;</w:t>
      </w:r>
    </w:p>
    <w:p>
      <w:pPr>
        <w:pStyle w:val="ListParagraph"/>
        <w:numPr>
          <w:ilvl w:val="0"/>
          <w:numId w:val="5"/>
        </w:numPr>
        <w:spacing w:after="80" w:line="290"/>
      </w:pPr>
      <w:r>
        <w:rPr>
          <w:rFonts w:ascii="Nunito Sans" w:cs="Nunito Sans" w:eastAsia="Nunito Sans" w:hAnsi="Nunito Sans"/>
          <w:color w:val="102E3B"/>
          <w:sz w:val="20"/>
          <w:szCs w:val="20"/>
        </w:rPr>
        <w:t xml:space="preserve">solicitamos al menos dos referencias, una de ellas del empleador más reciente, y preguntamos directamente a quienes dan las referencias si la persona candidata fue investigada por explotación, abuso o acoso sexuales, o si se determinó que los había cometido;</w:t>
      </w:r>
    </w:p>
    <w:p>
      <w:pPr>
        <w:pStyle w:val="ListParagraph"/>
        <w:numPr>
          <w:ilvl w:val="0"/>
          <w:numId w:val="5"/>
        </w:numPr>
        <w:spacing w:after="80" w:line="290"/>
      </w:pPr>
      <w:r>
        <w:rPr>
          <w:rFonts w:ascii="Nunito Sans" w:cs="Nunito Sans" w:eastAsia="Nunito Sans" w:hAnsi="Nunito Sans"/>
          <w:color w:val="102E3B"/>
          <w:sz w:val="20"/>
          <w:szCs w:val="20"/>
        </w:rPr>
        <w:t xml:space="preserve">verificamos la identidad y, cuando sean relevantes, las titulaciones;</w:t>
      </w:r>
    </w:p>
    <w:p>
      <w:pPr>
        <w:pStyle w:val="ListParagraph"/>
        <w:numPr>
          <w:ilvl w:val="0"/>
          <w:numId w:val="5"/>
        </w:numPr>
        <w:spacing w:after="80" w:line="290"/>
      </w:pPr>
      <w:r>
        <w:rPr>
          <w:rFonts w:ascii="Nunito Sans" w:cs="Nunito Sans" w:eastAsia="Nunito Sans" w:hAnsi="Nunito Sans"/>
          <w:color w:val="102E3B"/>
          <w:sz w:val="20"/>
          <w:szCs w:val="20"/>
        </w:rPr>
        <w:t xml:space="preserve">solicitamos un certificado policial o de antecedentes penales cuando exista, sea legal y razonablemente fiable;</w:t>
      </w:r>
    </w:p>
    <w:p>
      <w:pPr>
        <w:pStyle w:val="ListParagraph"/>
        <w:numPr>
          <w:ilvl w:val="0"/>
          <w:numId w:val="5"/>
        </w:numPr>
        <w:spacing w:after="80" w:line="290"/>
      </w:pPr>
      <w:r>
        <w:rPr>
          <w:rFonts w:ascii="Nunito Sans" w:cs="Nunito Sans" w:eastAsia="Nunito Sans" w:hAnsi="Nunito Sans"/>
          <w:color w:val="102E3B"/>
          <w:sz w:val="20"/>
          <w:szCs w:val="20"/>
        </w:rPr>
        <w:t xml:space="preserve">nos aseguramos de que la persona firme esta política y el Código de Conducta y complete la inducción antes de empezar un trabajo que implique contacto.</w:t>
      </w:r>
    </w:p>
    <w:p>
      <w:pPr>
        <w:spacing w:after="120" w:before="0" w:line="300"/>
      </w:pPr>
      <w:r>
        <w:rPr>
          <w:rFonts w:ascii="Nunito Sans" w:cs="Nunito Sans" w:eastAsia="Nunito Sans" w:hAnsi="Nunito Sans"/>
          <w:color w:val="102E3B"/>
          <w:sz w:val="20"/>
          <w:szCs w:val="20"/>
        </w:rPr>
        <w:t xml:space="preserve">Seguimos los principios del Misconduct Disclosure Scheme (sistema de divulgación de conductas indebidas): cuando se nos piden referencias, compartimos las conclusiones confirmadas de explotación, abuso o acoso sexuales cuando la ley lo permite. Ninguna verificación es una garantía. La supervisión y una cultura en la que se alza la voz importan igual. Nuestro Procedimiento de Contratación Segura describe cada paso, con listas de verificación, una solicitud de referencias y un formulario de autodeclaración.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CERTIFICADOS POLICIALES POR PAÍS</w:t>
            </w:r>
          </w:p>
          <w:p>
            <w:pPr>
              <w:spacing w:after="120" w:before="0" w:line="300"/>
            </w:pPr>
            <w:r>
              <w:rPr>
                <w:rFonts w:ascii="Nunito Sans" w:cs="Nunito Sans" w:eastAsia="Nunito Sans" w:hAnsi="Nunito Sans"/>
                <w:color w:val="102E3B"/>
                <w:sz w:val="19"/>
                <w:szCs w:val="19"/>
              </w:rPr>
              <w:t xml:space="preserve">Decide qué roles necesitan un certificado y de qué país. Notas que debes confirmar localmente:</w:t>
            </w:r>
          </w:p>
          <w:p>
            <w:pPr>
              <w:pStyle w:val="ListParagraph"/>
              <w:numPr>
                <w:ilvl w:val="0"/>
                <w:numId w:val="3"/>
              </w:numPr>
              <w:spacing w:after="80" w:line="290"/>
            </w:pPr>
            <w:r>
              <w:rPr>
                <w:rFonts w:ascii="Nunito Sans" w:cs="Nunito Sans" w:eastAsia="Nunito Sans" w:hAnsi="Nunito Sans"/>
                <w:b/>
                <w:bCs/>
                <w:color w:val="102E3B"/>
                <w:sz w:val="19"/>
                <w:szCs w:val="19"/>
              </w:rPr>
              <w:t xml:space="preserve">Reino Unido:</w:t>
            </w:r>
            <w:r>
              <w:rPr>
                <w:rFonts w:ascii="Nunito Sans" w:cs="Nunito Sans" w:eastAsia="Nunito Sans" w:hAnsi="Nunito Sans"/>
                <w:color w:val="102E3B"/>
                <w:sz w:val="19"/>
                <w:szCs w:val="19"/>
              </w:rPr>
              <w:t xml:space="preserve"> certificados del Disclosure and Barring Service (DBS); certificados ampliados con consulta de las listas de inhabilitación solo para los roles que reúnan los requisitos.</w:t>
            </w:r>
          </w:p>
          <w:p>
            <w:pPr>
              <w:pStyle w:val="ListParagraph"/>
              <w:numPr>
                <w:ilvl w:val="0"/>
                <w:numId w:val="3"/>
              </w:numPr>
              <w:spacing w:after="80" w:line="290"/>
            </w:pPr>
            <w:r>
              <w:rPr>
                <w:rFonts w:ascii="Nunito Sans" w:cs="Nunito Sans" w:eastAsia="Nunito Sans" w:hAnsi="Nunito Sans"/>
                <w:b/>
                <w:bCs/>
                <w:color w:val="102E3B"/>
                <w:sz w:val="19"/>
                <w:szCs w:val="19"/>
              </w:rPr>
              <w:t xml:space="preserve">Kenia:</w:t>
            </w:r>
            <w:r>
              <w:rPr>
                <w:rFonts w:ascii="Nunito Sans" w:cs="Nunito Sans" w:eastAsia="Nunito Sans" w:hAnsi="Nunito Sans"/>
                <w:color w:val="102E3B"/>
                <w:sz w:val="19"/>
                <w:szCs w:val="19"/>
              </w:rPr>
              <w:t xml:space="preserve"> un Police Clearance Certificate (a menudo llamado Certificate of Good Conduct) expedido por la Directorate of Criminal Investigations.</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un certificado de antecedentes policiales, más la consulta del National Child Protection Register y del National Register for Sex Offenders para las personas que trabajan con niñas, niños y adolescentes. Comprueba tus obligaciones actuales en virtud de la Children's Act 38 of 2005.</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 y Brasil:</w:t>
            </w:r>
            <w:r>
              <w:rPr>
                <w:rFonts w:ascii="Nunito Sans" w:cs="Nunito Sans" w:eastAsia="Nunito Sans" w:hAnsi="Nunito Sans"/>
                <w:color w:val="102E3B"/>
                <w:sz w:val="19"/>
                <w:szCs w:val="19"/>
              </w:rPr>
              <w:t xml:space="preserve"> la verificación policial y los certificados de antecedentes penales los expiden autoridades estatales (y en Brasil también federales); los procesos varían.</w:t>
            </w:r>
          </w:p>
          <w:p>
            <w:pPr>
              <w:spacing w:after="120" w:before="0" w:line="300"/>
            </w:pPr>
            <w:r>
              <w:rPr>
                <w:rFonts w:ascii="Nunito Sans" w:cs="Nunito Sans" w:eastAsia="Nunito Sans" w:hAnsi="Nunito Sans"/>
                <w:color w:val="102E3B"/>
                <w:sz w:val="19"/>
                <w:szCs w:val="19"/>
              </w:rPr>
              <w:t xml:space="preserve">Donde las verificaciones no sean fiables o no estén disponibles, apóyate más en las referencias, la autodeclaración y la supervisión, y deja constancia del motivo. Los datos sobre antecedentes penales son muy sensibles según la mayoría de las leyes de protección de datos: recopila solo lo que necesites y elimínalos después de tomar la decisión.</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5. Comportamiento, seguridad en línea e imágenes</w:t>
      </w:r>
    </w:p>
    <w:p>
      <w:pPr>
        <w:spacing w:after="120" w:before="0" w:line="300"/>
      </w:pPr>
      <w:r>
        <w:rPr>
          <w:rFonts w:ascii="Nunito Sans" w:cs="Nunito Sans" w:eastAsia="Nunito Sans" w:hAnsi="Nunito Sans"/>
          <w:color w:val="102E3B"/>
          <w:sz w:val="20"/>
          <w:szCs w:val="20"/>
        </w:rPr>
        <w:t xml:space="preserve">Todas las personas siguen nuestro Código de Conducta, que establece el comportamiento que esperamos. El daño también puede producirse a través de teléfonos, aplicaciones de mensajería y redes sociales. Nosotros:</w:t>
      </w:r>
    </w:p>
    <w:p>
      <w:pPr>
        <w:pStyle w:val="ListParagraph"/>
        <w:numPr>
          <w:ilvl w:val="0"/>
          <w:numId w:val="3"/>
        </w:numPr>
        <w:spacing w:after="80" w:line="290"/>
      </w:pPr>
      <w:r>
        <w:rPr>
          <w:rFonts w:ascii="Nunito Sans" w:cs="Nunito Sans" w:eastAsia="Nunito Sans" w:hAnsi="Nunito Sans"/>
          <w:color w:val="102E3B"/>
          <w:sz w:val="20"/>
          <w:szCs w:val="20"/>
        </w:rPr>
        <w:t xml:space="preserve">usamos cuentas y equipos de la organización para comunicarnos con niñas, niños y adolescentes o con personas adultas en situación de riesgo. Cuando se necesite una aplicación de mensajería, la persona responsable de salvaguarda decide cuál y un segundo miembro del equipo forma parte del grupo;</w:t>
      </w:r>
    </w:p>
    <w:p>
      <w:pPr>
        <w:pStyle w:val="ListParagraph"/>
        <w:numPr>
          <w:ilvl w:val="0"/>
          <w:numId w:val="3"/>
        </w:numPr>
        <w:spacing w:after="80" w:line="290"/>
      </w:pPr>
      <w:r>
        <w:rPr>
          <w:rFonts w:ascii="Nunito Sans" w:cs="Nunito Sans" w:eastAsia="Nunito Sans" w:hAnsi="Nunito Sans"/>
          <w:color w:val="102E3B"/>
          <w:sz w:val="20"/>
          <w:szCs w:val="20"/>
        </w:rPr>
        <w:t xml:space="preserve">nunca contactamos con niñas, niños y adolescentes mediante mensajes privados o redes sociales personales, ni los seguimos desde cuentas personales;</w:t>
      </w:r>
    </w:p>
    <w:p>
      <w:pPr>
        <w:pStyle w:val="ListParagraph"/>
        <w:numPr>
          <w:ilvl w:val="0"/>
          <w:numId w:val="3"/>
        </w:numPr>
        <w:spacing w:after="80" w:line="290"/>
      </w:pPr>
      <w:r>
        <w:rPr>
          <w:rFonts w:ascii="Nunito Sans" w:cs="Nunito Sans" w:eastAsia="Nunito Sans" w:hAnsi="Nunito Sans"/>
          <w:color w:val="102E3B"/>
          <w:sz w:val="20"/>
          <w:szCs w:val="20"/>
        </w:rPr>
        <w:t xml:space="preserve">realizamos las sesiones en línea con niñas, niños y adolescentes con dos personas adultas, el consentimiento de sus padres o tutores y un chat moderado, y solo las grabamos con consentimiento y con un fin claro;</w:t>
      </w:r>
    </w:p>
    <w:p>
      <w:pPr>
        <w:pStyle w:val="ListParagraph"/>
        <w:numPr>
          <w:ilvl w:val="0"/>
          <w:numId w:val="3"/>
        </w:numPr>
        <w:spacing w:after="80" w:line="290"/>
      </w:pPr>
      <w:r>
        <w:rPr>
          <w:rFonts w:ascii="Nunito Sans" w:cs="Nunito Sans" w:eastAsia="Nunito Sans" w:hAnsi="Nunito Sans"/>
          <w:color w:val="102E3B"/>
          <w:sz w:val="20"/>
          <w:szCs w:val="20"/>
        </w:rPr>
        <w:t xml:space="preserve">desactivamos las etiquetas de ubicación y nunca publicamos nada que revele dónde se puede encontrar a un niño o niña, a una persona sobreviviente o un refugio;</w:t>
      </w:r>
    </w:p>
    <w:p>
      <w:pPr>
        <w:pStyle w:val="ListParagraph"/>
        <w:numPr>
          <w:ilvl w:val="0"/>
          <w:numId w:val="3"/>
        </w:numPr>
        <w:spacing w:after="80" w:line="290"/>
      </w:pPr>
      <w:r>
        <w:rPr>
          <w:rFonts w:ascii="Nunito Sans" w:cs="Nunito Sans" w:eastAsia="Nunito Sans" w:hAnsi="Nunito Sans"/>
          <w:color w:val="102E3B"/>
          <w:sz w:val="20"/>
          <w:szCs w:val="20"/>
        </w:rPr>
        <w:t xml:space="preserve">nunca introducimos nombres, historias, imágenes o detalles de casos de niñas, niños y adolescentes, personas sobrevivientes o personas adultas en situación de riesgo en herramientas de IA o servicios en línea que no hayamos aprobado.</w:t>
      </w:r>
    </w:p>
    <w:p>
      <w:pPr>
        <w:spacing w:after="120" w:before="0" w:line="300"/>
      </w:pPr>
      <w:r>
        <w:rPr>
          <w:rFonts w:ascii="Nunito Sans" w:cs="Nunito Sans" w:eastAsia="Nunito Sans" w:hAnsi="Nunito Sans"/>
          <w:color w:val="102E3B"/>
          <w:sz w:val="20"/>
          <w:szCs w:val="20"/>
        </w:rPr>
        <w:t xml:space="preserve">Contamos las historias de las personas solo con su consentimiento informado, mediante nuestro Formulario de Consentimiento para Fotos e Historias, y nunca de una forma que pueda identificar a un niño o niña en riesgo o poner en peligro a nadie. Informe de los daños en línea, incluida la captación (grooming), la sextorsión (amenazas de difundir imágenes sexuales si la persona no paga o hace algo) y la difusión de imágenes íntimas, como de cualquier otra preocupación.</w:t>
      </w:r>
    </w:p>
    <w:p>
      <w:pPr>
        <w:pStyle w:val="Heading2"/>
        <w:keepNext/>
        <w:spacing w:after="120" w:before="280"/>
      </w:pPr>
      <w:r>
        <w:rPr>
          <w:rFonts w:ascii="DM Serif Display" w:cs="DM Serif Display" w:eastAsia="DM Serif Display" w:hAnsi="DM Serif Display"/>
          <w:color w:val="123C48"/>
          <w:sz w:val="28"/>
          <w:szCs w:val="28"/>
        </w:rPr>
        <w:t xml:space="preserve">6. Formación</w:t>
      </w:r>
    </w:p>
    <w:p>
      <w:pPr>
        <w:spacing w:after="120" w:before="0" w:line="300"/>
      </w:pPr>
      <w:r>
        <w:rPr>
          <w:rFonts w:ascii="Nunito Sans" w:cs="Nunito Sans" w:eastAsia="Nunito Sans" w:hAnsi="Nunito Sans"/>
          <w:color w:val="102E3B"/>
          <w:sz w:val="20"/>
          <w:szCs w:val="20"/>
        </w:rPr>
        <w:t xml:space="preserve">Todas las personas completan la inducción en salvaguarda en </w:t>
      </w:r>
      <w:r>
        <w:rPr>
          <w:rFonts w:ascii="Nunito Sans" w:cs="Nunito Sans" w:eastAsia="Nunito Sans" w:hAnsi="Nunito Sans"/>
          <w:color w:val="102E3B"/>
          <w:sz w:val="20"/>
          <w:szCs w:val="20"/>
          <w:highlight w:val="yellow"/>
        </w:rPr>
        <w:t xml:space="preserve">[sus dos primeras semanas]</w:t>
      </w:r>
      <w:r>
        <w:rPr>
          <w:rFonts w:ascii="Nunito Sans" w:cs="Nunito Sans" w:eastAsia="Nunito Sans" w:hAnsi="Nunito Sans"/>
          <w:color w:val="102E3B"/>
          <w:sz w:val="20"/>
          <w:szCs w:val="20"/>
        </w:rPr>
        <w:t xml:space="preserve">, antes de realizar un trabajo de contacto sin supervisión, y un breve curso de actualización cada año. La persona responsable de salvaguarda y su suplente completan una formación reconocida y la renuevan cada </w:t>
      </w:r>
      <w:r>
        <w:rPr>
          <w:rFonts w:ascii="Nunito Sans" w:cs="Nunito Sans" w:eastAsia="Nunito Sans" w:hAnsi="Nunito Sans"/>
          <w:color w:val="102E3B"/>
          <w:sz w:val="20"/>
          <w:szCs w:val="20"/>
          <w:highlight w:val="yellow"/>
        </w:rPr>
        <w:t xml:space="preserve">[2 años]</w:t>
      </w:r>
      <w:r>
        <w:rPr>
          <w:rFonts w:ascii="Nunito Sans" w:cs="Nunito Sans" w:eastAsia="Nunito Sans" w:hAnsi="Nunito Sans"/>
          <w:color w:val="102E3B"/>
          <w:sz w:val="20"/>
          <w:szCs w:val="20"/>
        </w:rPr>
        <w:t xml:space="preserve">. Informamos a las personas a las que servimos, en su idioma y en un formato accesible, del comportamiento que pueden esperar de nosotros, de que nuestra ayuda es gratuita y de cómo plantear una preocupación.</w:t>
      </w:r>
    </w:p>
    <w:p>
      <w:pPr>
        <w:pStyle w:val="Heading2"/>
        <w:keepNext/>
        <w:spacing w:after="120" w:before="280"/>
      </w:pPr>
      <w:r>
        <w:rPr>
          <w:rFonts w:ascii="DM Serif Display" w:cs="DM Serif Display" w:eastAsia="DM Serif Display" w:hAnsi="DM Serif Display"/>
          <w:color w:val="123C48"/>
          <w:sz w:val="28"/>
          <w:szCs w:val="28"/>
        </w:rPr>
        <w:t xml:space="preserve">7. Socios, contratistas y proveedores</w:t>
      </w:r>
    </w:p>
    <w:p>
      <w:pPr>
        <w:spacing w:after="120" w:before="0" w:line="300"/>
      </w:pPr>
      <w:r>
        <w:rPr>
          <w:rFonts w:ascii="Nunito Sans" w:cs="Nunito Sans" w:eastAsia="Nunito Sans" w:hAnsi="Nunito Sans"/>
          <w:color w:val="102E3B"/>
          <w:sz w:val="20"/>
          <w:szCs w:val="20"/>
        </w:rPr>
        <w:t xml:space="preserve">Nuestras normas se aplican a todas las personas que trabajan en nuestros proyectos. Comprobamos las medidas de salvaguarda de los socios conforme a nuestra Política de Debida Diligencia de Socios y Control de Sanciones. Nuestros acuerdos exigen que los socios, los subreceptores de subvenciones y los contratistas:</w:t>
      </w:r>
    </w:p>
    <w:p>
      <w:pPr>
        <w:pStyle w:val="ListParagraph"/>
        <w:numPr>
          <w:ilvl w:val="0"/>
          <w:numId w:val="6"/>
        </w:numPr>
        <w:spacing w:after="80" w:line="290"/>
      </w:pPr>
      <w:r>
        <w:rPr>
          <w:rFonts w:ascii="Nunito Sans" w:cs="Nunito Sans" w:eastAsia="Nunito Sans" w:hAnsi="Nunito Sans"/>
          <w:color w:val="102E3B"/>
          <w:sz w:val="20"/>
          <w:szCs w:val="20"/>
        </w:rPr>
        <w:t xml:space="preserve">sigan esta política, o la suya propia si es al menos igual de sólida, y los seis principios básicos del IASC;</w:t>
      </w:r>
    </w:p>
    <w:p>
      <w:pPr>
        <w:pStyle w:val="ListParagraph"/>
        <w:numPr>
          <w:ilvl w:val="0"/>
          <w:numId w:val="6"/>
        </w:numPr>
        <w:spacing w:after="80" w:line="290"/>
      </w:pPr>
      <w:r>
        <w:rPr>
          <w:rFonts w:ascii="Nunito Sans" w:cs="Nunito Sans" w:eastAsia="Nunito Sans" w:hAnsi="Nunito Sans"/>
          <w:color w:val="102E3B"/>
          <w:sz w:val="20"/>
          <w:szCs w:val="20"/>
        </w:rPr>
        <w:t xml:space="preserve">designen un punto focal de salvaguarda y apliquen la contratación segura en nuestros proyectos;</w:t>
      </w:r>
    </w:p>
    <w:p>
      <w:pPr>
        <w:pStyle w:val="ListParagraph"/>
        <w:numPr>
          <w:ilvl w:val="0"/>
          <w:numId w:val="6"/>
        </w:numPr>
        <w:spacing w:after="80" w:line="290"/>
      </w:pPr>
      <w:r>
        <w:rPr>
          <w:rFonts w:ascii="Nunito Sans" w:cs="Nunito Sans" w:eastAsia="Nunito Sans" w:hAnsi="Nunito Sans"/>
          <w:color w:val="102E3B"/>
          <w:sz w:val="20"/>
          <w:szCs w:val="20"/>
        </w:rPr>
        <w:t xml:space="preserve">nos informen de cualquier preocupación de salvaguarda relacionada con nuestro trabajo en un plazo de </w:t>
      </w:r>
      <w:r>
        <w:rPr>
          <w:rFonts w:ascii="Nunito Sans" w:cs="Nunito Sans" w:eastAsia="Nunito Sans" w:hAnsi="Nunito Sans"/>
          <w:color w:val="102E3B"/>
          <w:sz w:val="20"/>
          <w:szCs w:val="20"/>
          <w:highlight w:val="yellow"/>
        </w:rPr>
        <w:t xml:space="preserve">[24 horas / 48 horas]</w:t>
      </w:r>
      <w:r>
        <w:rPr>
          <w:rFonts w:ascii="Nunito Sans" w:cs="Nunito Sans" w:eastAsia="Nunito Sans" w:hAnsi="Nunito Sans"/>
          <w:color w:val="102E3B"/>
          <w:sz w:val="20"/>
          <w:szCs w:val="20"/>
        </w:rPr>
        <w:t xml:space="preserve">, protegiendo la identidad de la persona sobreviviente;</w:t>
      </w:r>
    </w:p>
    <w:p>
      <w:pPr>
        <w:pStyle w:val="ListParagraph"/>
        <w:numPr>
          <w:ilvl w:val="0"/>
          <w:numId w:val="6"/>
        </w:numPr>
        <w:spacing w:after="80" w:line="290"/>
      </w:pPr>
      <w:r>
        <w:rPr>
          <w:rFonts w:ascii="Nunito Sans" w:cs="Nunito Sans" w:eastAsia="Nunito Sans" w:hAnsi="Nunito Sans"/>
          <w:color w:val="102E3B"/>
          <w:sz w:val="20"/>
          <w:szCs w:val="20"/>
        </w:rPr>
        <w:t xml:space="preserve">cooperen con cualquier revisión y acepten que podamos poner fin al acuerdo por un incumplimiento;</w:t>
      </w:r>
    </w:p>
    <w:p>
      <w:pPr>
        <w:pStyle w:val="ListParagraph"/>
        <w:numPr>
          <w:ilvl w:val="0"/>
          <w:numId w:val="6"/>
        </w:numPr>
        <w:spacing w:after="80" w:line="290"/>
      </w:pPr>
      <w:r>
        <w:rPr>
          <w:rFonts w:ascii="Nunito Sans" w:cs="Nunito Sans" w:eastAsia="Nunito Sans" w:hAnsi="Nunito Sans"/>
          <w:color w:val="102E3B"/>
          <w:sz w:val="20"/>
          <w:szCs w:val="20"/>
        </w:rPr>
        <w:t xml:space="preserve">trasladen los mismos requisitos a cualquier persona o entidad que subcontraten.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TRASLADO DE REQUISITOS A LOS SOCIOS</w:t>
            </w:r>
          </w:p>
          <w:p>
            <w:pPr>
              <w:spacing w:after="120" w:before="0" w:line="300"/>
            </w:pPr>
            <w:r>
              <w:rPr>
                <w:rFonts w:ascii="Nunito Sans" w:cs="Nunito Sans" w:eastAsia="Nunito Sans" w:hAnsi="Nunito Sans"/>
                <w:color w:val="102E3B"/>
                <w:sz w:val="19"/>
                <w:szCs w:val="19"/>
              </w:rPr>
              <w:t xml:space="preserve">Ajusta el requisito al socio. Un grupo comunitario que organiza un evento puntual puede necesitar solo un código de conducta firmado y una sesión informativa. Un subreceptor que trabaja con niñas, niños y adolescentes necesita una política completa, un punto focal y obligaciones de notificación incluidas en el Acuerdo de Subvención a Socios. Revisa las condiciones de tus financiadores: muchos financiadores institucionales exigen que las cláusulas de salvaguarda se trasladen a todos los socios de la cadena, a veces con plazos de notificación fijos.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Cómo responder e informar</w:t>
      </w:r>
    </w:p>
    <w:p>
      <w:pPr>
        <w:pStyle w:val="Heading2"/>
        <w:keepNext/>
        <w:spacing w:after="120" w:before="280"/>
      </w:pPr>
      <w:r>
        <w:rPr>
          <w:rFonts w:ascii="DM Serif Display" w:cs="DM Serif Display" w:eastAsia="DM Serif Display" w:hAnsi="DM Serif Display"/>
          <w:color w:val="123C48"/>
          <w:sz w:val="28"/>
          <w:szCs w:val="28"/>
        </w:rPr>
        <w:t xml:space="preserve">8. Si alguien corre un peligro inmediato</w:t>
      </w:r>
    </w:p>
    <w:p>
      <w:pPr>
        <w:spacing w:after="120" w:before="0" w:line="300"/>
      </w:pPr>
      <w:r>
        <w:rPr>
          <w:rFonts w:ascii="Nunito Sans" w:cs="Nunito Sans" w:eastAsia="Nunito Sans" w:hAnsi="Nunito Sans"/>
          <w:color w:val="102E3B"/>
          <w:sz w:val="20"/>
          <w:szCs w:val="20"/>
        </w:rPr>
        <w:t xml:space="preserve">Contacte con los servicios de emergencia en el </w:t>
      </w:r>
      <w:r>
        <w:rPr>
          <w:rFonts w:ascii="Nunito Sans" w:cs="Nunito Sans" w:eastAsia="Nunito Sans" w:hAnsi="Nunito Sans"/>
          <w:color w:val="102E3B"/>
          <w:sz w:val="20"/>
          <w:szCs w:val="20"/>
          <w:highlight w:val="yellow"/>
        </w:rPr>
        <w:t xml:space="preserve">[número de emergencia local]</w:t>
      </w:r>
      <w:r>
        <w:rPr>
          <w:rFonts w:ascii="Nunito Sans" w:cs="Nunito Sans" w:eastAsia="Nunito Sans" w:hAnsi="Nunito Sans"/>
          <w:color w:val="102E3B"/>
          <w:sz w:val="20"/>
          <w:szCs w:val="20"/>
        </w:rPr>
        <w:t xml:space="preserve">, o lleve a la persona a </w:t>
      </w:r>
      <w:r>
        <w:rPr>
          <w:rFonts w:ascii="Nunito Sans" w:cs="Nunito Sans" w:eastAsia="Nunito Sans" w:hAnsi="Nunito Sans"/>
          <w:color w:val="102E3B"/>
          <w:sz w:val="20"/>
          <w:szCs w:val="20"/>
          <w:highlight w:val="yellow"/>
        </w:rPr>
        <w:t xml:space="preserve">[centro de salud más cercano]</w:t>
      </w:r>
      <w:r>
        <w:rPr>
          <w:rFonts w:ascii="Nunito Sans" w:cs="Nunito Sans" w:eastAsia="Nunito Sans" w:hAnsi="Nunito Sans"/>
          <w:color w:val="102E3B"/>
          <w:sz w:val="20"/>
          <w:szCs w:val="20"/>
        </w:rPr>
        <w:t xml:space="preserve">, si es seguro para usted y para ella. Después, informe a la persona responsable de salvaguarda en un plazo de </w:t>
      </w:r>
      <w:r>
        <w:rPr>
          <w:rFonts w:ascii="Nunito Sans" w:cs="Nunito Sans" w:eastAsia="Nunito Sans" w:hAnsi="Nunito Sans"/>
          <w:color w:val="102E3B"/>
          <w:sz w:val="20"/>
          <w:szCs w:val="20"/>
          <w:highlight w:val="yellow"/>
        </w:rPr>
        <w:t xml:space="preserve">[2 horas]</w:t>
      </w:r>
      <w:r>
        <w:rPr>
          <w:rFonts w:ascii="Nunito Sans" w:cs="Nunito Sans" w:eastAsia="Nunito Sans" w:hAnsi="Nunito Sans"/>
          <w:color w:val="102E3B"/>
          <w:sz w:val="20"/>
          <w:szCs w:val="20"/>
        </w:rPr>
        <w:t xml:space="preserve">.</w:t>
      </w:r>
    </w:p>
    <w:p>
      <w:pPr>
        <w:pStyle w:val="Heading2"/>
        <w:keepNext/>
        <w:spacing w:after="120" w:before="280"/>
      </w:pPr>
      <w:r>
        <w:rPr>
          <w:rFonts w:ascii="DM Serif Display" w:cs="DM Serif Display" w:eastAsia="DM Serif Display" w:hAnsi="DM Serif Display"/>
          <w:color w:val="123C48"/>
          <w:sz w:val="28"/>
          <w:szCs w:val="28"/>
        </w:rPr>
        <w:t xml:space="preserve">9. Si alguien le cuenta que ha sufrido un daño</w:t>
      </w:r>
    </w:p>
    <w:p>
      <w:pPr>
        <w:pStyle w:val="ListParagraph"/>
        <w:numPr>
          <w:ilvl w:val="0"/>
          <w:numId w:val="3"/>
        </w:numPr>
        <w:spacing w:after="80" w:line="290"/>
      </w:pPr>
      <w:r>
        <w:rPr>
          <w:rFonts w:ascii="Nunito Sans" w:cs="Nunito Sans" w:eastAsia="Nunito Sans" w:hAnsi="Nunito Sans"/>
          <w:b/>
          <w:bCs/>
          <w:color w:val="102E3B"/>
          <w:sz w:val="20"/>
          <w:szCs w:val="20"/>
        </w:rPr>
        <w:t xml:space="preserve">Escuche</w:t>
      </w:r>
      <w:r>
        <w:rPr>
          <w:rFonts w:ascii="Nunito Sans" w:cs="Nunito Sans" w:eastAsia="Nunito Sans" w:hAnsi="Nunito Sans"/>
          <w:color w:val="102E3B"/>
          <w:sz w:val="20"/>
          <w:szCs w:val="20"/>
        </w:rPr>
        <w:t xml:space="preserve"> con calma. Deje que la persona hable a su manera y a su ritmo.</w:t>
      </w:r>
    </w:p>
    <w:p>
      <w:pPr>
        <w:pStyle w:val="ListParagraph"/>
        <w:numPr>
          <w:ilvl w:val="0"/>
          <w:numId w:val="3"/>
        </w:numPr>
        <w:spacing w:after="80" w:line="290"/>
      </w:pPr>
      <w:r>
        <w:rPr>
          <w:rFonts w:ascii="Nunito Sans" w:cs="Nunito Sans" w:eastAsia="Nunito Sans" w:hAnsi="Nunito Sans"/>
          <w:b/>
          <w:bCs/>
          <w:color w:val="102E3B"/>
          <w:sz w:val="20"/>
          <w:szCs w:val="20"/>
        </w:rPr>
        <w:t xml:space="preserve">Tranquilícela</w:t>
      </w:r>
      <w:r>
        <w:rPr>
          <w:rFonts w:ascii="Nunito Sans" w:cs="Nunito Sans" w:eastAsia="Nunito Sans" w:hAnsi="Nunito Sans"/>
          <w:color w:val="102E3B"/>
          <w:sz w:val="20"/>
          <w:szCs w:val="20"/>
        </w:rPr>
        <w:t xml:space="preserve"> diciéndole que ha hecho bien en contárselo y que no es culpa suya. Compruebe que ahora está a salvo.</w:t>
      </w:r>
    </w:p>
    <w:p>
      <w:pPr>
        <w:pStyle w:val="ListParagraph"/>
        <w:numPr>
          <w:ilvl w:val="0"/>
          <w:numId w:val="3"/>
        </w:numPr>
        <w:spacing w:after="80" w:line="290"/>
      </w:pPr>
      <w:r>
        <w:rPr>
          <w:rFonts w:ascii="Nunito Sans" w:cs="Nunito Sans" w:eastAsia="Nunito Sans" w:hAnsi="Nunito Sans"/>
          <w:b/>
          <w:bCs/>
          <w:color w:val="102E3B"/>
          <w:sz w:val="20"/>
          <w:szCs w:val="20"/>
        </w:rPr>
        <w:t xml:space="preserve">Sea honesto</w:t>
      </w:r>
      <w:r>
        <w:rPr>
          <w:rFonts w:ascii="Nunito Sans" w:cs="Nunito Sans" w:eastAsia="Nunito Sans" w:hAnsi="Nunito Sans"/>
          <w:color w:val="102E3B"/>
          <w:sz w:val="20"/>
          <w:szCs w:val="20"/>
        </w:rPr>
        <w:t xml:space="preserve"> sobre lo que ocurrirá después. No prometa guardar el secreto: diga que solo compartirá lo necesario para ayudar.</w:t>
      </w:r>
    </w:p>
    <w:p>
      <w:pPr>
        <w:pStyle w:val="ListParagraph"/>
        <w:numPr>
          <w:ilvl w:val="0"/>
          <w:numId w:val="3"/>
        </w:numPr>
        <w:spacing w:after="80" w:line="290"/>
      </w:pPr>
      <w:r>
        <w:rPr>
          <w:rFonts w:ascii="Nunito Sans" w:cs="Nunito Sans" w:eastAsia="Nunito Sans" w:hAnsi="Nunito Sans"/>
          <w:b/>
          <w:bCs/>
          <w:color w:val="102E3B"/>
          <w:sz w:val="20"/>
          <w:szCs w:val="20"/>
        </w:rPr>
        <w:t xml:space="preserve">No investigue.</w:t>
      </w:r>
      <w:r>
        <w:rPr>
          <w:rFonts w:ascii="Nunito Sans" w:cs="Nunito Sans" w:eastAsia="Nunito Sans" w:hAnsi="Nunito Sans"/>
          <w:color w:val="102E3B"/>
          <w:sz w:val="20"/>
          <w:szCs w:val="20"/>
        </w:rPr>
        <w:t xml:space="preserve"> No haga preguntas que sugieran la respuesta ("¿Te tocó?"), no examine lesiones, no busque pruebas ni confronte a nadie.</w:t>
      </w:r>
    </w:p>
    <w:p>
      <w:pPr>
        <w:pStyle w:val="ListParagraph"/>
        <w:numPr>
          <w:ilvl w:val="0"/>
          <w:numId w:val="3"/>
        </w:numPr>
        <w:spacing w:after="80" w:line="290"/>
      </w:pPr>
      <w:r>
        <w:rPr>
          <w:rFonts w:ascii="Nunito Sans" w:cs="Nunito Sans" w:eastAsia="Nunito Sans" w:hAnsi="Nunito Sans"/>
          <w:b/>
          <w:bCs/>
          <w:color w:val="102E3B"/>
          <w:sz w:val="20"/>
          <w:szCs w:val="20"/>
        </w:rPr>
        <w:t xml:space="preserve">Registre</w:t>
      </w:r>
      <w:r>
        <w:rPr>
          <w:rFonts w:ascii="Nunito Sans" w:cs="Nunito Sans" w:eastAsia="Nunito Sans" w:hAnsi="Nunito Sans"/>
          <w:color w:val="102E3B"/>
          <w:sz w:val="20"/>
          <w:szCs w:val="20"/>
        </w:rPr>
        <w:t xml:space="preserve"> lo antes posible lo que dijo, con sus propias palabras, con la fecha, la hora y el lugar. Hechos, no opiniones.</w:t>
      </w:r>
    </w:p>
    <w:p>
      <w:pPr>
        <w:pStyle w:val="ListParagraph"/>
        <w:numPr>
          <w:ilvl w:val="0"/>
          <w:numId w:val="3"/>
        </w:numPr>
        <w:spacing w:after="80" w:line="290"/>
      </w:pPr>
      <w:r>
        <w:rPr>
          <w:rFonts w:ascii="Nunito Sans" w:cs="Nunito Sans" w:eastAsia="Nunito Sans" w:hAnsi="Nunito Sans"/>
          <w:b/>
          <w:bCs/>
          <w:color w:val="102E3B"/>
          <w:sz w:val="20"/>
          <w:szCs w:val="20"/>
        </w:rPr>
        <w:t xml:space="preserve">Informe</w:t>
      </w:r>
      <w:r>
        <w:rPr>
          <w:rFonts w:ascii="Nunito Sans" w:cs="Nunito Sans" w:eastAsia="Nunito Sans" w:hAnsi="Nunito Sans"/>
          <w:color w:val="102E3B"/>
          <w:sz w:val="20"/>
          <w:szCs w:val="20"/>
        </w:rPr>
        <w:t xml:space="preserve"> a la persona responsable de salvaguarda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No lo comente con nadie más.</w:t>
      </w:r>
    </w:p>
    <w:p>
      <w:pPr>
        <w:pStyle w:val="Heading2"/>
        <w:keepNext/>
        <w:spacing w:after="120" w:before="280"/>
      </w:pPr>
      <w:r>
        <w:rPr>
          <w:rFonts w:ascii="DM Serif Display" w:cs="DM Serif Display" w:eastAsia="DM Serif Display" w:hAnsi="DM Serif Display"/>
          <w:color w:val="123C48"/>
          <w:sz w:val="28"/>
          <w:szCs w:val="28"/>
        </w:rPr>
        <w:t xml:space="preserve">10. Cómo informar</w:t>
      </w:r>
    </w:p>
    <w:p>
      <w:pPr>
        <w:spacing w:after="120" w:before="0" w:line="300"/>
      </w:pPr>
      <w:r>
        <w:rPr>
          <w:rFonts w:ascii="Nunito Sans" w:cs="Nunito Sans" w:eastAsia="Nunito Sans" w:hAnsi="Nunito Sans"/>
          <w:color w:val="102E3B"/>
          <w:sz w:val="20"/>
          <w:szCs w:val="20"/>
        </w:rPr>
        <w:t xml:space="preserve">Informe de cualquier preocupación, sospecha o revelación sobre cualquier persona vinculada a nuestro trabajo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No necesita pruebas. Use el formulario del Anexo A, o informe por teléfono o en persona.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47"/>
        <w:gridCol w:w="6477"/>
      </w:tblGrid>
      <w:tr>
        <w:trPr>
          <w:cantSplit/>
          <w:tblHeader/>
        </w:trPr>
        <w:tc>
          <w:tcPr>
            <w:tcW w:type="dxa" w:w="304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VÍA</w:t>
            </w:r>
          </w:p>
        </w:tc>
        <w:tc>
          <w:tcPr>
            <w:tcW w:type="dxa" w:w="6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DATOS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 responsable de salvaguarda</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[teléfono]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[salvaguarda@tuorganizacion.org]</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Suplente o contacto independiente</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[teléfono]</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r>
              <w:rPr>
                <w:rFonts w:ascii="Nunito Sans" w:cs="Nunito Sans" w:eastAsia="Nunito Sans" w:hAnsi="Nunito Sans"/>
                <w:color w:val="102E3B"/>
                <w:sz w:val="18"/>
                <w:szCs w:val="18"/>
              </w:rPr>
              <w:t xml:space="preserve">: si la preocupación se refiere a la persona responsable, si esta está implicada o si no se la puede localizar</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Miembro del órgano de gobierno a cargo de la salvaguarda</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w:t>
            </w:r>
            <w:r>
              <w:rPr>
                <w:rFonts w:ascii="Nunito Sans" w:cs="Nunito Sans" w:eastAsia="Nunito Sans" w:hAnsi="Nunito Sans"/>
                <w:color w:val="102E3B"/>
                <w:sz w:val="18"/>
                <w:szCs w:val="18"/>
              </w:rPr>
              <w:t xml:space="preserve">, </w:t>
            </w:r>
            <w:r>
              <w:rPr>
                <w:rFonts w:ascii="Nunito Sans" w:cs="Nunito Sans" w:eastAsia="Nunito Sans" w:hAnsi="Nunito Sans"/>
                <w:color w:val="102E3B"/>
                <w:sz w:val="18"/>
                <w:szCs w:val="18"/>
                <w:highlight w:val="yellow"/>
              </w:rPr>
              <w:t xml:space="preserve">[correo electrónico]</w:t>
            </w:r>
            <w:r>
              <w:rPr>
                <w:rFonts w:ascii="Nunito Sans" w:cs="Nunito Sans" w:eastAsia="Nunito Sans" w:hAnsi="Nunito Sans"/>
                <w:color w:val="102E3B"/>
                <w:sz w:val="18"/>
                <w:szCs w:val="18"/>
              </w:rPr>
              <w:t xml:space="preserve">: si las dos personas anteriores están implicadas</w:t>
            </w:r>
          </w:p>
        </w:tc>
      </w:tr>
      <w:tr>
        <w:trPr>
          <w:cantSplit/>
          <w:tblHeader w:val="off"/>
        </w:trPr>
        <w:tc>
          <w:tcPr>
            <w:tcW w:type="dxa" w:w="304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Vía anónima</w:t>
            </w:r>
          </w:p>
        </w:tc>
        <w:tc>
          <w:tcPr>
            <w:tcW w:type="dxa" w:w="6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[Buzón de sugerencias / formulario anónimo / línea directa]</w:t>
            </w:r>
            <w:r>
              <w:rPr>
                <w:rFonts w:ascii="Nunito Sans" w:cs="Nunito Sans" w:eastAsia="Nunito Sans" w:hAnsi="Nunito Sans"/>
                <w:color w:val="102E3B"/>
                <w:sz w:val="18"/>
                <w:szCs w:val="18"/>
              </w:rPr>
              <w:t xml:space="preserve">. Es posible que no podamos informarle de los avances.</w:t>
            </w:r>
          </w:p>
        </w:tc>
      </w:tr>
      <w:tr>
        <w:trPr>
          <w:cantSplit/>
          <w:tblHeader w:val="off"/>
        </w:trPr>
        <w:tc>
          <w:tcPr>
            <w:tcW w:type="dxa" w:w="304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Personas a las que servimos</w:t>
            </w:r>
          </w:p>
        </w:tc>
        <w:tc>
          <w:tcPr>
            <w:tcW w:type="dxa" w:w="6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miembro de nuestro equipo, </w:t>
            </w:r>
            <w:r>
              <w:rPr>
                <w:rFonts w:ascii="Nunito Sans" w:cs="Nunito Sans" w:eastAsia="Nunito Sans" w:hAnsi="Nunito Sans"/>
                <w:color w:val="102E3B"/>
                <w:sz w:val="18"/>
                <w:szCs w:val="18"/>
                <w:highlight w:val="yellow"/>
              </w:rPr>
              <w:t xml:space="preserve">[canales de retroalimentación comunitaria]</w:t>
            </w:r>
            <w:r>
              <w:rPr>
                <w:rFonts w:ascii="Nunito Sans" w:cs="Nunito Sans" w:eastAsia="Nunito Sans" w:hAnsi="Nunito Sans"/>
                <w:color w:val="102E3B"/>
                <w:sz w:val="18"/>
                <w:szCs w:val="18"/>
              </w:rPr>
              <w:t xml:space="preserve"> o directamente la persona responsable de salvaguarda (consulte nuestro Procedimiento de Quejas y Retroalimentación)</w:t>
            </w:r>
          </w:p>
        </w:tc>
      </w:tr>
    </w:tbl>
    <w:p>
      <w:pPr>
        <w:spacing w:after="120"/>
      </w:pPr>
    </w:p>
    <w:p>
      <w:pPr>
        <w:spacing w:after="120" w:before="0" w:line="300"/>
      </w:pPr>
      <w:r>
        <w:rPr>
          <w:rFonts w:ascii="Nunito Sans" w:cs="Nunito Sans" w:eastAsia="Nunito Sans" w:hAnsi="Nunito Sans"/>
          <w:color w:val="102E3B"/>
          <w:sz w:val="20"/>
          <w:szCs w:val="20"/>
        </w:rPr>
        <w:t xml:space="preserve">También puede utilizar nuestra Política y Procedimiento de Denuncia de Irregularidades y siempre puede acudir directamente a la policía o a los servicios locales de protección de la infancia.</w:t>
      </w:r>
    </w:p>
    <w:p>
      <w:pPr>
        <w:pStyle w:val="Heading2"/>
        <w:keepNext/>
        <w:spacing w:after="120" w:before="280"/>
      </w:pPr>
      <w:r>
        <w:rPr>
          <w:rFonts w:ascii="DM Serif Display" w:cs="DM Serif Display" w:eastAsia="DM Serif Display" w:hAnsi="DM Serif Display"/>
          <w:color w:val="123C48"/>
          <w:sz w:val="28"/>
          <w:szCs w:val="28"/>
        </w:rPr>
        <w:t xml:space="preserve">11. Plazos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523"/>
        <w:gridCol w:w="4001"/>
      </w:tblGrid>
      <w:tr>
        <w:trPr>
          <w:cantSplit/>
          <w:tblHeader/>
        </w:trPr>
        <w:tc>
          <w:tcPr>
            <w:tcW w:type="dxa" w:w="552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PASO</w:t>
            </w:r>
          </w:p>
        </w:tc>
        <w:tc>
          <w:tcPr>
            <w:tcW w:type="dxa" w:w="400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PLAZO</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Peligro inmediato: contactar con los servicios de emergencia</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 inmediato</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la persona responsable de salvaguarda de un peligro inmediato o de un incidente grave</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 horas]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Informar a la persona responsable de salvaguarda de cualquier otra preocupación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En un plazo de </w:t>
            </w:r>
            <w:r>
              <w:rPr>
                <w:rFonts w:ascii="Nunito Sans" w:cs="Nunito Sans" w:eastAsia="Nunito Sans" w:hAnsi="Nunito Sans"/>
                <w:color w:val="102E3B"/>
                <w:sz w:val="18"/>
                <w:szCs w:val="18"/>
                <w:highlight w:val="yellow"/>
              </w:rPr>
              <w:t xml:space="preserve">[24 horas]</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Acusar recibo del reporte</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El mismo día si alguien puede estar en riesgo; en otro caso, </w:t>
            </w:r>
            <w:r>
              <w:rPr>
                <w:rFonts w:ascii="Nunito Sans" w:cs="Nunito Sans" w:eastAsia="Nunito Sans" w:hAnsi="Nunito Sans"/>
                <w:color w:val="102E3B"/>
                <w:sz w:val="18"/>
                <w:szCs w:val="18"/>
                <w:highlight w:val="yellow"/>
              </w:rPr>
              <w:t xml:space="preserve">[2 días hábiles]</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Evaluación inicial y medidas de protección</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[24 horas]</w:t>
            </w:r>
            <w:r>
              <w:rPr>
                <w:rFonts w:ascii="Nunito Sans" w:cs="Nunito Sans" w:eastAsia="Nunito Sans" w:hAnsi="Nunito Sans"/>
                <w:color w:val="102E3B"/>
                <w:sz w:val="18"/>
                <w:szCs w:val="18"/>
              </w:rPr>
              <w:t xml:space="preserve"> si hay niñas, niños o adolescentes o si se trata de EAAS; en otro caso, </w:t>
            </w:r>
            <w:r>
              <w:rPr>
                <w:rFonts w:ascii="Nunito Sans" w:cs="Nunito Sans" w:eastAsia="Nunito Sans" w:hAnsi="Nunito Sans"/>
                <w:color w:val="102E3B"/>
                <w:sz w:val="18"/>
                <w:szCs w:val="18"/>
                <w:highlight w:val="yellow"/>
              </w:rPr>
              <w:t xml:space="preserve">[3 días hábiles]</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Derivación cuando la ley lo exija</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Dentro del plazo legal, o en </w:t>
            </w:r>
            <w:r>
              <w:rPr>
                <w:rFonts w:ascii="Nunito Sans" w:cs="Nunito Sans" w:eastAsia="Nunito Sans" w:hAnsi="Nunito Sans"/>
                <w:color w:val="102E3B"/>
                <w:sz w:val="18"/>
                <w:szCs w:val="18"/>
                <w:highlight w:val="yellow"/>
              </w:rPr>
              <w:t xml:space="preserve">[24 horas]</w:t>
            </w:r>
            <w:r>
              <w:rPr>
                <w:rFonts w:ascii="Nunito Sans" w:cs="Nunito Sans" w:eastAsia="Nunito Sans" w:hAnsi="Nunito Sans"/>
                <w:color w:val="102E3B"/>
                <w:sz w:val="18"/>
                <w:szCs w:val="18"/>
              </w:rPr>
              <w:t xml:space="preserve"> si no hay ninguno establecido</w:t>
            </w:r>
          </w:p>
        </w:tc>
      </w:tr>
      <w:tr>
        <w:trPr>
          <w:cantSplit/>
          <w:tblHeader w:val="off"/>
        </w:trPr>
        <w:tc>
          <w:tcPr>
            <w:tcW w:type="dxa" w:w="552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Notificar a financiadores, reguladores o aseguradoras</w:t>
            </w:r>
          </w:p>
        </w:tc>
        <w:tc>
          <w:tcPr>
            <w:tcW w:type="dxa" w:w="400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Dentro del plazo de cada acuerdo o norma (sección 15)</w:t>
            </w:r>
          </w:p>
        </w:tc>
      </w:tr>
      <w:tr>
        <w:trPr>
          <w:cantSplit/>
          <w:tblHeader w:val="off"/>
        </w:trPr>
        <w:tc>
          <w:tcPr>
            <w:tcW w:type="dxa" w:w="552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Cerrar el caso</w:t>
            </w:r>
          </w:p>
        </w:tc>
        <w:tc>
          <w:tcPr>
            <w:tcW w:type="dxa" w:w="400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Objetivo de </w:t>
            </w:r>
            <w:r>
              <w:rPr>
                <w:rFonts w:ascii="Nunito Sans" w:cs="Nunito Sans" w:eastAsia="Nunito Sans" w:hAnsi="Nunito Sans"/>
                <w:color w:val="102E3B"/>
                <w:sz w:val="18"/>
                <w:szCs w:val="18"/>
                <w:highlight w:val="yellow"/>
              </w:rPr>
              <w:t xml:space="preserve">[30 / 60]</w:t>
            </w:r>
            <w:r>
              <w:rPr>
                <w:rFonts w:ascii="Nunito Sans" w:cs="Nunito Sans" w:eastAsia="Nunito Sans" w:hAnsi="Nunito Sans"/>
                <w:color w:val="102E3B"/>
                <w:sz w:val="18"/>
                <w:szCs w:val="18"/>
              </w:rPr>
              <w:t xml:space="preserve"> días, salvo que haya un proceso externo en curso</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12. Qué ocurre después de un reporte</w:t>
      </w:r>
    </w:p>
    <w:p>
      <w:pPr>
        <w:spacing w:after="120" w:before="0" w:line="300"/>
      </w:pPr>
      <w:r>
        <w:rPr>
          <w:rFonts w:ascii="Nunito Sans" w:cs="Nunito Sans" w:eastAsia="Nunito Sans" w:hAnsi="Nunito Sans"/>
          <w:color w:val="102E3B"/>
          <w:sz w:val="20"/>
          <w:szCs w:val="20"/>
        </w:rPr>
        <w:t xml:space="preserve">La persona responsable de salvaguarda, o la persona suplente si la responsable está implicada:</w:t>
      </w:r>
    </w:p>
    <w:p>
      <w:pPr>
        <w:pStyle w:val="ListParagraph"/>
        <w:numPr>
          <w:ilvl w:val="0"/>
          <w:numId w:val="7"/>
        </w:numPr>
        <w:spacing w:after="80" w:line="290"/>
      </w:pPr>
      <w:r>
        <w:rPr>
          <w:rFonts w:ascii="Nunito Sans" w:cs="Nunito Sans" w:eastAsia="Nunito Sans" w:hAnsi="Nunito Sans"/>
          <w:b/>
          <w:bCs/>
          <w:color w:val="102E3B"/>
          <w:sz w:val="20"/>
          <w:szCs w:val="20"/>
        </w:rPr>
        <w:t xml:space="preserve">Acusa recibo</w:t>
      </w:r>
      <w:r>
        <w:rPr>
          <w:rFonts w:ascii="Nunito Sans" w:cs="Nunito Sans" w:eastAsia="Nunito Sans" w:hAnsi="Nunito Sans"/>
          <w:color w:val="102E3B"/>
          <w:sz w:val="20"/>
          <w:szCs w:val="20"/>
        </w:rPr>
        <w:t xml:space="preserve"> del reporte y asigna un número de referencia.</w:t>
      </w:r>
    </w:p>
    <w:p>
      <w:pPr>
        <w:pStyle w:val="ListParagraph"/>
        <w:numPr>
          <w:ilvl w:val="0"/>
          <w:numId w:val="7"/>
        </w:numPr>
        <w:spacing w:after="80" w:line="290"/>
      </w:pPr>
      <w:r>
        <w:rPr>
          <w:rFonts w:ascii="Nunito Sans" w:cs="Nunito Sans" w:eastAsia="Nunito Sans" w:hAnsi="Nunito Sans"/>
          <w:b/>
          <w:bCs/>
          <w:color w:val="102E3B"/>
          <w:sz w:val="20"/>
          <w:szCs w:val="20"/>
        </w:rPr>
        <w:t xml:space="preserve">Evalúa el riesgo:</w:t>
      </w:r>
      <w:r>
        <w:rPr>
          <w:rFonts w:ascii="Nunito Sans" w:cs="Nunito Sans" w:eastAsia="Nunito Sans" w:hAnsi="Nunito Sans"/>
          <w:color w:val="102E3B"/>
          <w:sz w:val="20"/>
          <w:szCs w:val="20"/>
        </w:rPr>
        <w:t xml:space="preserve"> ¿hay alguien en peligro?, ¿hay un niño, niña o adolescente implicado?, ¿exige la ley presentar una denuncia? Pide asesoramiento especializado cuando tenga dudas.</w:t>
      </w:r>
    </w:p>
    <w:p>
      <w:pPr>
        <w:pStyle w:val="ListParagraph"/>
        <w:numPr>
          <w:ilvl w:val="0"/>
          <w:numId w:val="7"/>
        </w:numPr>
        <w:spacing w:after="80" w:line="290"/>
      </w:pPr>
      <w:r>
        <w:rPr>
          <w:rFonts w:ascii="Nunito Sans" w:cs="Nunito Sans" w:eastAsia="Nunito Sans" w:hAnsi="Nunito Sans"/>
          <w:b/>
          <w:bCs/>
          <w:color w:val="102E3B"/>
          <w:sz w:val="20"/>
          <w:szCs w:val="20"/>
        </w:rPr>
        <w:t xml:space="preserve">Protege</w:t>
      </w:r>
      <w:r>
        <w:rPr>
          <w:rFonts w:ascii="Nunito Sans" w:cs="Nunito Sans" w:eastAsia="Nunito Sans" w:hAnsi="Nunito Sans"/>
          <w:color w:val="102E3B"/>
          <w:sz w:val="20"/>
          <w:szCs w:val="20"/>
        </w:rPr>
        <w:t xml:space="preserve"> de inmediato a las personas cuando sea necesario: por ejemplo, apartando a la persona señalada del trabajo de contacto, suspendiéndola o pausando una actividad. Es una precaución, no una conclusión.</w:t>
      </w:r>
    </w:p>
    <w:p>
      <w:pPr>
        <w:pStyle w:val="ListParagraph"/>
        <w:numPr>
          <w:ilvl w:val="0"/>
          <w:numId w:val="7"/>
        </w:numPr>
        <w:spacing w:after="80" w:line="290"/>
      </w:pPr>
      <w:r>
        <w:rPr>
          <w:rFonts w:ascii="Nunito Sans" w:cs="Nunito Sans" w:eastAsia="Nunito Sans" w:hAnsi="Nunito Sans"/>
          <w:b/>
          <w:bCs/>
          <w:color w:val="102E3B"/>
          <w:sz w:val="20"/>
          <w:szCs w:val="20"/>
        </w:rPr>
        <w:t xml:space="preserve">Habla con la persona sobreviviente,</w:t>
      </w:r>
      <w:r>
        <w:rPr>
          <w:rFonts w:ascii="Nunito Sans" w:cs="Nunito Sans" w:eastAsia="Nunito Sans" w:hAnsi="Nunito Sans"/>
          <w:color w:val="102E3B"/>
          <w:sz w:val="20"/>
          <w:szCs w:val="20"/>
        </w:rPr>
        <w:t xml:space="preserve"> cuando sea seguro, sobre sus opciones y deseos, y le ofrece derivarla a servicios de apoyo (Anexo B).</w:t>
      </w:r>
    </w:p>
    <w:p>
      <w:pPr>
        <w:pStyle w:val="ListParagraph"/>
        <w:numPr>
          <w:ilvl w:val="0"/>
          <w:numId w:val="7"/>
        </w:numPr>
        <w:spacing w:after="80" w:line="290"/>
      </w:pPr>
      <w:r>
        <w:rPr>
          <w:rFonts w:ascii="Nunito Sans" w:cs="Nunito Sans" w:eastAsia="Nunito Sans" w:hAnsi="Nunito Sans"/>
          <w:b/>
          <w:bCs/>
          <w:color w:val="102E3B"/>
          <w:sz w:val="20"/>
          <w:szCs w:val="20"/>
        </w:rPr>
        <w:t xml:space="preserve">Deriva</w:t>
      </w:r>
      <w:r>
        <w:rPr>
          <w:rFonts w:ascii="Nunito Sans" w:cs="Nunito Sans" w:eastAsia="Nunito Sans" w:hAnsi="Nunito Sans"/>
          <w:color w:val="102E3B"/>
          <w:sz w:val="20"/>
          <w:szCs w:val="20"/>
        </w:rPr>
        <w:t xml:space="preserve"> el caso a los servicios de protección de la infancia, a la policía o a otras instancias cuando la ley lo exija, cuando un niño, niña o adolescente esté en riesgo o cuando una persona adulta sobreviviente lo acepte (sección 13).</w:t>
      </w:r>
    </w:p>
    <w:p>
      <w:pPr>
        <w:pStyle w:val="ListParagraph"/>
        <w:numPr>
          <w:ilvl w:val="0"/>
          <w:numId w:val="7"/>
        </w:numPr>
        <w:spacing w:after="80" w:line="290"/>
      </w:pPr>
      <w:r>
        <w:rPr>
          <w:rFonts w:ascii="Nunito Sans" w:cs="Nunito Sans" w:eastAsia="Nunito Sans" w:hAnsi="Nunito Sans"/>
          <w:b/>
          <w:bCs/>
          <w:color w:val="102E3B"/>
          <w:sz w:val="20"/>
          <w:szCs w:val="20"/>
        </w:rPr>
        <w:t xml:space="preserve">Lo examina.</w:t>
      </w:r>
      <w:r>
        <w:rPr>
          <w:rFonts w:ascii="Nunito Sans" w:cs="Nunito Sans" w:eastAsia="Nunito Sans" w:hAnsi="Nunito Sans"/>
          <w:color w:val="102E3B"/>
          <w:sz w:val="20"/>
          <w:szCs w:val="20"/>
        </w:rPr>
        <w:t xml:space="preserve"> Nunca investigamos delitos por nuestra cuenta. Para los casos internos graves o complejos designamos a una persona investigadora externa con formación. Si las autoridades investigan, cooperamos y pausamos nuestro propio trabajo si nos lo piden.</w:t>
      </w:r>
    </w:p>
    <w:p>
      <w:pPr>
        <w:pStyle w:val="ListParagraph"/>
        <w:numPr>
          <w:ilvl w:val="0"/>
          <w:numId w:val="7"/>
        </w:numPr>
        <w:spacing w:after="80" w:line="290"/>
      </w:pPr>
      <w:r>
        <w:rPr>
          <w:rFonts w:ascii="Nunito Sans" w:cs="Nunito Sans" w:eastAsia="Nunito Sans" w:hAnsi="Nunito Sans"/>
          <w:b/>
          <w:bCs/>
          <w:color w:val="102E3B"/>
          <w:sz w:val="20"/>
          <w:szCs w:val="20"/>
        </w:rPr>
        <w:t xml:space="preserve">Decide</w:t>
      </w:r>
      <w:r>
        <w:rPr>
          <w:rFonts w:ascii="Nunito Sans" w:cs="Nunito Sans" w:eastAsia="Nunito Sans" w:hAnsi="Nunito Sans"/>
          <w:color w:val="102E3B"/>
          <w:sz w:val="20"/>
          <w:szCs w:val="20"/>
        </w:rPr>
        <w:t xml:space="preserve"> según el criterio del balance de probabilidades (si es más probable que la preocupación sea cierta que no) y actúa conforme a nuestro Procedimiento Disciplinario y de Reclamaciones o a los acuerdos.</w:t>
      </w:r>
    </w:p>
    <w:p>
      <w:pPr>
        <w:pStyle w:val="ListParagraph"/>
        <w:numPr>
          <w:ilvl w:val="0"/>
          <w:numId w:val="7"/>
        </w:numPr>
        <w:spacing w:after="80" w:line="290"/>
      </w:pPr>
      <w:r>
        <w:rPr>
          <w:rFonts w:ascii="Nunito Sans" w:cs="Nunito Sans" w:eastAsia="Nunito Sans" w:hAnsi="Nunito Sans"/>
          <w:b/>
          <w:bCs/>
          <w:color w:val="102E3B"/>
          <w:sz w:val="20"/>
          <w:szCs w:val="20"/>
        </w:rPr>
        <w:t xml:space="preserve">Cierra el caso y aprende:</w:t>
      </w:r>
      <w:r>
        <w:rPr>
          <w:rFonts w:ascii="Nunito Sans" w:cs="Nunito Sans" w:eastAsia="Nunito Sans" w:hAnsi="Nunito Sans"/>
          <w:color w:val="102E3B"/>
          <w:sz w:val="20"/>
          <w:szCs w:val="20"/>
        </w:rPr>
        <w:t xml:space="preserve"> informa a la persona sobreviviente y a quien hizo el reporte de todo lo que la confidencialidad permita, y registra el resultado y lo que cambiaremos.</w:t>
      </w:r>
    </w:p>
    <w:p>
      <w:pPr>
        <w:spacing w:after="120" w:before="0" w:line="300"/>
      </w:pPr>
      <w:r>
        <w:rPr>
          <w:rFonts w:ascii="Nunito Sans" w:cs="Nunito Sans" w:eastAsia="Nunito Sans" w:hAnsi="Nunito Sans"/>
          <w:color w:val="102E3B"/>
          <w:sz w:val="20"/>
          <w:szCs w:val="20"/>
        </w:rPr>
        <w:t xml:space="preserve">A la persona señalada se le comunica el contenido esencial de la acusación cuando es seguro hacerlo, y puede responder. No se presume que nadie haya actuado mal.</w:t>
      </w:r>
    </w:p>
    <w:p>
      <w:pPr>
        <w:pStyle w:val="Heading2"/>
        <w:keepNext/>
        <w:spacing w:after="120" w:before="280"/>
      </w:pPr>
      <w:r>
        <w:rPr>
          <w:rFonts w:ascii="DM Serif Display" w:cs="DM Serif Display" w:eastAsia="DM Serif Display" w:hAnsi="DM Serif Display"/>
          <w:color w:val="123C48"/>
          <w:sz w:val="28"/>
          <w:szCs w:val="28"/>
        </w:rPr>
        <w:t xml:space="preserve">13. La persona sobreviviente primero</w:t>
      </w:r>
    </w:p>
    <w:p>
      <w:pPr>
        <w:pStyle w:val="ListParagraph"/>
        <w:numPr>
          <w:ilvl w:val="0"/>
          <w:numId w:val="3"/>
        </w:numPr>
        <w:spacing w:after="80" w:line="290"/>
      </w:pPr>
      <w:r>
        <w:rPr>
          <w:rFonts w:ascii="Nunito Sans" w:cs="Nunito Sans" w:eastAsia="Nunito Sans" w:hAnsi="Nunito Sans"/>
          <w:b/>
          <w:bCs/>
          <w:color w:val="102E3B"/>
          <w:sz w:val="20"/>
          <w:szCs w:val="20"/>
        </w:rPr>
        <w:t xml:space="preserve">Seguridad.</w:t>
      </w:r>
      <w:r>
        <w:rPr>
          <w:rFonts w:ascii="Nunito Sans" w:cs="Nunito Sans" w:eastAsia="Nunito Sans" w:hAnsi="Nunito Sans"/>
          <w:color w:val="102E3B"/>
          <w:sz w:val="20"/>
          <w:szCs w:val="20"/>
        </w:rPr>
        <w:t xml:space="preserve"> Antes de cualquier derivación, tenemos en cuenta cómo podrían reaccionar la persona que causó el daño, la familia o la comunidad.</w:t>
      </w:r>
    </w:p>
    <w:p>
      <w:pPr>
        <w:pStyle w:val="ListParagraph"/>
        <w:numPr>
          <w:ilvl w:val="0"/>
          <w:numId w:val="3"/>
        </w:numPr>
        <w:spacing w:after="80" w:line="290"/>
      </w:pPr>
      <w:r>
        <w:rPr>
          <w:rFonts w:ascii="Nunito Sans" w:cs="Nunito Sans" w:eastAsia="Nunito Sans" w:hAnsi="Nunito Sans"/>
          <w:b/>
          <w:bCs/>
          <w:color w:val="102E3B"/>
          <w:sz w:val="20"/>
          <w:szCs w:val="20"/>
        </w:rPr>
        <w:t xml:space="preserve">Las personas adultas eligen.</w:t>
      </w:r>
      <w:r>
        <w:rPr>
          <w:rFonts w:ascii="Nunito Sans" w:cs="Nunito Sans" w:eastAsia="Nunito Sans" w:hAnsi="Nunito Sans"/>
          <w:color w:val="102E3B"/>
          <w:sz w:val="20"/>
          <w:szCs w:val="20"/>
        </w:rPr>
        <w:t xml:space="preserve"> Explicamos las opciones y respetamos sus decisiones. No comunicamos la experiencia de una persona adulta sobreviviente a la policía ni a líderes comunitarios sin su consentimiento, salvo que la ley lo exija, que un niño, niña o adolescente u otra persona corra un riesgo grave o que su vida esté en peligro.</w:t>
      </w:r>
    </w:p>
    <w:p>
      <w:pPr>
        <w:pStyle w:val="ListParagraph"/>
        <w:numPr>
          <w:ilvl w:val="0"/>
          <w:numId w:val="3"/>
        </w:numPr>
        <w:spacing w:after="80" w:line="290"/>
      </w:pPr>
      <w:r>
        <w:rPr>
          <w:rFonts w:ascii="Nunito Sans" w:cs="Nunito Sans" w:eastAsia="Nunito Sans" w:hAnsi="Nunito Sans"/>
          <w:b/>
          <w:bCs/>
          <w:color w:val="102E3B"/>
          <w:sz w:val="20"/>
          <w:szCs w:val="20"/>
        </w:rPr>
        <w:t xml:space="preserve">Se protege a niñas, niños y adolescentes.</w:t>
      </w:r>
      <w:r>
        <w:rPr>
          <w:rFonts w:ascii="Nunito Sans" w:cs="Nunito Sans" w:eastAsia="Nunito Sans" w:hAnsi="Nunito Sans"/>
          <w:color w:val="102E3B"/>
          <w:sz w:val="20"/>
          <w:szCs w:val="20"/>
        </w:rPr>
        <w:t xml:space="preserve"> Cuando un niño, niña o adolescente pueda correr el riesgo de sufrir un daño significativo, actuamos aunque ellos o su familia no estén de acuerdo, y cumplimos cualquier obligación de notificación obligatoria. Le explicamos lo que va a ocurrir de una forma que pueda entender.</w:t>
      </w:r>
    </w:p>
    <w:p>
      <w:pPr>
        <w:pStyle w:val="ListParagraph"/>
        <w:numPr>
          <w:ilvl w:val="0"/>
          <w:numId w:val="3"/>
        </w:numPr>
        <w:spacing w:after="80" w:line="290"/>
      </w:pPr>
      <w:r>
        <w:rPr>
          <w:rFonts w:ascii="Nunito Sans" w:cs="Nunito Sans" w:eastAsia="Nunito Sans" w:hAnsi="Nunito Sans"/>
          <w:b/>
          <w:bCs/>
          <w:color w:val="102E3B"/>
          <w:sz w:val="20"/>
          <w:szCs w:val="20"/>
        </w:rPr>
        <w:t xml:space="preserve">Si actuamos sin consentimiento,</w:t>
      </w:r>
      <w:r>
        <w:rPr>
          <w:rFonts w:ascii="Nunito Sans" w:cs="Nunito Sans" w:eastAsia="Nunito Sans" w:hAnsi="Nunito Sans"/>
          <w:color w:val="102E3B"/>
          <w:sz w:val="20"/>
          <w:szCs w:val="20"/>
        </w:rPr>
        <w:t xml:space="preserve"> le explicamos a la persona sobreviviente por qué y qué vamos a compartir, y compartimos solo lo necesario.</w:t>
      </w:r>
    </w:p>
    <w:p>
      <w:pPr>
        <w:pStyle w:val="ListParagraph"/>
        <w:numPr>
          <w:ilvl w:val="0"/>
          <w:numId w:val="3"/>
        </w:numPr>
        <w:spacing w:after="80" w:line="290"/>
      </w:pPr>
      <w:r>
        <w:rPr>
          <w:rFonts w:ascii="Nunito Sans" w:cs="Nunito Sans" w:eastAsia="Nunito Sans" w:hAnsi="Nunito Sans"/>
          <w:b/>
          <w:bCs/>
          <w:color w:val="102E3B"/>
          <w:sz w:val="20"/>
          <w:szCs w:val="20"/>
        </w:rPr>
        <w:t xml:space="preserve">Contarlo una sola vez.</w:t>
      </w:r>
      <w:r>
        <w:rPr>
          <w:rFonts w:ascii="Nunito Sans" w:cs="Nunito Sans" w:eastAsia="Nunito Sans" w:hAnsi="Nunito Sans"/>
          <w:color w:val="102E3B"/>
          <w:sz w:val="20"/>
          <w:szCs w:val="20"/>
        </w:rPr>
        <w:t xml:space="preserve"> Solo la persona responsable de salvaguarda, o quien ella designe, recoge el relato completo.</w:t>
      </w:r>
    </w:p>
    <w:p>
      <w:pPr>
        <w:pStyle w:val="ListParagraph"/>
        <w:numPr>
          <w:ilvl w:val="0"/>
          <w:numId w:val="3"/>
        </w:numPr>
        <w:spacing w:after="80" w:line="290"/>
      </w:pPr>
      <w:r>
        <w:rPr>
          <w:rFonts w:ascii="Nunito Sans" w:cs="Nunito Sans" w:eastAsia="Nunito Sans" w:hAnsi="Nunito Sans"/>
          <w:b/>
          <w:bCs/>
          <w:color w:val="102E3B"/>
          <w:sz w:val="20"/>
          <w:szCs w:val="20"/>
        </w:rPr>
        <w:t xml:space="preserve">Apoyo práctico,</w:t>
      </w:r>
      <w:r>
        <w:rPr>
          <w:rFonts w:ascii="Nunito Sans" w:cs="Nunito Sans" w:eastAsia="Nunito Sans" w:hAnsi="Nunito Sans"/>
          <w:color w:val="102E3B"/>
          <w:sz w:val="20"/>
          <w:szCs w:val="20"/>
        </w:rPr>
        <w:t xml:space="preserve"> como transporte seguro o interpretación.</w:t>
      </w:r>
    </w:p>
    <w:p>
      <w:pPr>
        <w:spacing w:after="120" w:before="0" w:line="300"/>
      </w:pPr>
      <w:r>
        <w:rPr>
          <w:rFonts w:ascii="Nunito Sans" w:cs="Nunito Sans" w:eastAsia="Nunito Sans" w:hAnsi="Nunito Sans"/>
          <w:color w:val="102E3B"/>
          <w:sz w:val="20"/>
          <w:szCs w:val="20"/>
        </w:rPr>
        <w:t xml:space="preserve">La derivación puede poner en riesgo a las personas adultas sobrevivientes. En algunos lugares, denunciar la violencia de género (VG) ante la policía puede provocar represalias, estigma, matrimonio forzado o el procesamiento de la persona sobreviviente, por ejemplo por relaciones entre personas del mismo sexo, trabajo sexual, situación migratoria o relaciones sexuales fuera del matrimonio. Cuando existe este riesgo, nos centramos en el apoyo sanitario, psicosocial y jurídico confidencial que elija la persona sobreviviente.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NOTIFICACIÓN OBLIGATORIA</w:t>
            </w:r>
          </w:p>
          <w:p>
            <w:pPr>
              <w:spacing w:after="120" w:before="0" w:line="300"/>
            </w:pPr>
            <w:r>
              <w:rPr>
                <w:rFonts w:ascii="Nunito Sans" w:cs="Nunito Sans" w:eastAsia="Nunito Sans" w:hAnsi="Nunito Sans"/>
                <w:color w:val="102E3B"/>
                <w:sz w:val="19"/>
                <w:szCs w:val="19"/>
              </w:rPr>
              <w:t xml:space="preserve">Averigua lo que exige la ley donde trabajas y sustituye este recuadro por dos o tres frases claras. Ejemplos que debes confirmar localmente:</w:t>
            </w:r>
          </w:p>
          <w:p>
            <w:pPr>
              <w:pStyle w:val="ListParagraph"/>
              <w:numPr>
                <w:ilvl w:val="0"/>
                <w:numId w:val="3"/>
              </w:numPr>
              <w:spacing w:after="80" w:line="290"/>
            </w:pPr>
            <w:r>
              <w:rPr>
                <w:rFonts w:ascii="Nunito Sans" w:cs="Nunito Sans" w:eastAsia="Nunito Sans" w:hAnsi="Nunito Sans"/>
                <w:b/>
                <w:bCs/>
                <w:color w:val="102E3B"/>
                <w:sz w:val="19"/>
                <w:szCs w:val="19"/>
              </w:rPr>
              <w:t xml:space="preserve">India:</w:t>
            </w:r>
            <w:r>
              <w:rPr>
                <w:rFonts w:ascii="Nunito Sans" w:cs="Nunito Sans" w:eastAsia="Nunito Sans" w:hAnsi="Nunito Sans"/>
                <w:color w:val="102E3B"/>
                <w:sz w:val="19"/>
                <w:szCs w:val="19"/>
              </w:rPr>
              <w:t xml:space="preserve"> la Protection of Children from Sexual Offences (POCSO) Act 2012 obliga a cualquier persona que conozca o sospeche un delito sexual contra un niño o niña a denunciarlo ante la policía o la Special Juvenile Police Unit. No denunciarlo es un delito.</w:t>
            </w:r>
          </w:p>
          <w:p>
            <w:pPr>
              <w:pStyle w:val="ListParagraph"/>
              <w:numPr>
                <w:ilvl w:val="0"/>
                <w:numId w:val="3"/>
              </w:numPr>
              <w:spacing w:after="80" w:line="290"/>
            </w:pPr>
            <w:r>
              <w:rPr>
                <w:rFonts w:ascii="Nunito Sans" w:cs="Nunito Sans" w:eastAsia="Nunito Sans" w:hAnsi="Nunito Sans"/>
                <w:b/>
                <w:bCs/>
                <w:color w:val="102E3B"/>
                <w:sz w:val="19"/>
                <w:szCs w:val="19"/>
              </w:rPr>
              <w:t xml:space="preserve">Sudáfrica:</w:t>
            </w:r>
            <w:r>
              <w:rPr>
                <w:rFonts w:ascii="Nunito Sans" w:cs="Nunito Sans" w:eastAsia="Nunito Sans" w:hAnsi="Nunito Sans"/>
                <w:color w:val="102E3B"/>
                <w:sz w:val="19"/>
                <w:szCs w:val="19"/>
              </w:rPr>
              <w:t xml:space="preserve"> la Children's Act 38 of 2005 (sección 110) obliga a muchos profesionales, como docentes, personal sanitario y trabajadores sociales, a denunciar la sospecha de abuso o negligencia deliberada de un niño o niña. La legislación sobre delitos sexuales también obliga a cualquier persona que conozca un delito sexual contra un niño o niña a denunciarlo ante la policía.</w:t>
            </w:r>
          </w:p>
          <w:p>
            <w:pPr>
              <w:pStyle w:val="ListParagraph"/>
              <w:numPr>
                <w:ilvl w:val="0"/>
                <w:numId w:val="3"/>
              </w:numPr>
              <w:spacing w:after="80" w:line="290"/>
            </w:pPr>
            <w:r>
              <w:rPr>
                <w:rFonts w:ascii="Nunito Sans" w:cs="Nunito Sans" w:eastAsia="Nunito Sans" w:hAnsi="Nunito Sans"/>
                <w:b/>
                <w:bCs/>
                <w:color w:val="102E3B"/>
                <w:sz w:val="19"/>
                <w:szCs w:val="19"/>
              </w:rPr>
              <w:t xml:space="preserve">Brasil:</w:t>
            </w:r>
            <w:r>
              <w:rPr>
                <w:rFonts w:ascii="Nunito Sans" w:cs="Nunito Sans" w:eastAsia="Nunito Sans" w:hAnsi="Nunito Sans"/>
                <w:color w:val="102E3B"/>
                <w:sz w:val="19"/>
                <w:szCs w:val="19"/>
              </w:rPr>
              <w:t xml:space="preserve"> el Estatuto da Criança e do Adolescente (ECA, Ley 8.069 de 1990) exige que la sospecha de maltrato de un niño, niña o adolescente se comunique al Conselho Tutelar.</w:t>
            </w:r>
          </w:p>
          <w:p>
            <w:pPr>
              <w:pStyle w:val="ListParagraph"/>
              <w:numPr>
                <w:ilvl w:val="0"/>
                <w:numId w:val="3"/>
              </w:numPr>
              <w:spacing w:after="80" w:line="290"/>
            </w:pPr>
            <w:r>
              <w:rPr>
                <w:rFonts w:ascii="Nunito Sans" w:cs="Nunito Sans" w:eastAsia="Nunito Sans" w:hAnsi="Nunito Sans"/>
                <w:b/>
                <w:bCs/>
                <w:color w:val="102E3B"/>
                <w:sz w:val="19"/>
                <w:szCs w:val="19"/>
              </w:rPr>
              <w:t xml:space="preserve">Otros países:</w:t>
            </w:r>
            <w:r>
              <w:rPr>
                <w:rFonts w:ascii="Nunito Sans" w:cs="Nunito Sans" w:eastAsia="Nunito Sans" w:hAnsi="Nunito Sans"/>
                <w:color w:val="102E3B"/>
                <w:sz w:val="19"/>
                <w:szCs w:val="19"/>
              </w:rPr>
              <w:t xml:space="preserve"> revisa la ley de infancia, el código penal y cualquier ley sobre violencia de género. Algunas obligaciones se aplican solo a determinadas profesiones.</w:t>
            </w:r>
          </w:p>
          <w:p>
            <w:pPr>
              <w:spacing w:after="120" w:before="0" w:line="300"/>
            </w:pPr>
            <w:r>
              <w:rPr>
                <w:rFonts w:ascii="Nunito Sans" w:cs="Nunito Sans" w:eastAsia="Nunito Sans" w:hAnsi="Nunito Sans"/>
                <w:color w:val="102E3B"/>
                <w:sz w:val="19"/>
                <w:szCs w:val="19"/>
              </w:rPr>
              <w:t xml:space="preserve">Decide quién presenta la denuncia: normalmente la persona responsable de salvaguarda, para que los miembros del equipo no carguen con ello en solitario. Si la ley impone una obligación personal a determinadas personas del personal, infórmales.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14. Derivación a servicios locales</w:t>
      </w:r>
    </w:p>
    <w:p>
      <w:pPr>
        <w:spacing w:after="120" w:before="0" w:line="300"/>
      </w:pPr>
      <w:r>
        <w:rPr>
          <w:rFonts w:ascii="Nunito Sans" w:cs="Nunito Sans" w:eastAsia="Nunito Sans" w:hAnsi="Nunito Sans"/>
          <w:color w:val="102E3B"/>
          <w:sz w:val="20"/>
          <w:szCs w:val="20"/>
        </w:rPr>
        <w:t xml:space="preserve">La persona responsable de salvaguarda mantiene un mapa de servicios locales de confianza para cada lugar donde trabajamos (Anexo B). Antes de incluir un servicio, comprobamos que trata a las personas sobrevivientes con respeto y mantiene la confidencialidad de la información. Actualizamos el mapa cada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 Donde exista un grupo de coordinación sobre VG o protección de la infancia, utilizamos su ruta de derivación.</w:t>
      </w:r>
    </w:p>
    <w:p>
      <w:pPr>
        <w:pStyle w:val="Heading2"/>
        <w:keepNext/>
        <w:spacing w:after="120" w:before="280"/>
      </w:pPr>
      <w:r>
        <w:rPr>
          <w:rFonts w:ascii="DM Serif Display" w:cs="DM Serif Display" w:eastAsia="DM Serif Display" w:hAnsi="DM Serif Display"/>
          <w:color w:val="123C48"/>
          <w:sz w:val="28"/>
          <w:szCs w:val="28"/>
        </w:rPr>
        <w:t xml:space="preserve">15. Información a financiadores, reguladores y otras partes</w:t>
      </w:r>
    </w:p>
    <w:p>
      <w:pPr>
        <w:spacing w:after="120" w:before="0" w:line="300"/>
      </w:pPr>
      <w:r>
        <w:rPr>
          <w:rFonts w:ascii="Nunito Sans" w:cs="Nunito Sans" w:eastAsia="Nunito Sans" w:hAnsi="Nunito Sans"/>
          <w:color w:val="102E3B"/>
          <w:sz w:val="20"/>
          <w:szCs w:val="20"/>
        </w:rPr>
        <w:t xml:space="preserve">Algunos financiadores, reguladores y aseguradoras nos exigen notificar los incidentes de salvaguarda. La persona responsable de salvaguarda informa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que presenta estas notificaciones a tiempo. Compartimos solo lo necesario, y nunca el nombre de la persona sobreviviente, salvo que la ley lo exija o ella lo acepte.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FINANCIADORES Y REGULADORES</w:t>
            </w:r>
          </w:p>
          <w:p>
            <w:pPr>
              <w:spacing w:after="120" w:before="0" w:line="300"/>
            </w:pPr>
            <w:r>
              <w:rPr>
                <w:rFonts w:ascii="Nunito Sans" w:cs="Nunito Sans" w:eastAsia="Nunito Sans" w:hAnsi="Nunito Sans"/>
                <w:color w:val="102E3B"/>
                <w:sz w:val="19"/>
                <w:szCs w:val="19"/>
              </w:rPr>
              <w:t xml:space="preserve">Enumera cada financiador, regulador y aseguradora a quien debas notificar, qué se considera notificable y el plazo. Muchos financiadores institucionales exigen la notificación en un plazo breve, por ejemplo de 24 a 72 horas: lee cada acuerdo de subvención. En Inglaterra y Gales, las organizaciones benéficas registradas deben notificar sin demora los incidentes graves, incluidos los de salvaguarda, a la Charity Commission. En otros países, comprueba si tu regulador de ONG o la autoridad de registro tiene una norma de notificación y si tu aseguradora exige que se le comuniquen posibles reclamaciones.</w:t>
            </w:r>
          </w:p>
        </w:tc>
      </w:tr>
    </w:tbl>
    <w:p>
      <w:pPr>
        <w:spacing w:after="120"/>
      </w:pPr>
    </w:p>
    <w:p>
      <w:pPr>
        <w:pStyle w:val="Heading2"/>
        <w:keepNext/>
        <w:spacing w:after="120" w:before="280"/>
      </w:pPr>
      <w:r>
        <w:rPr>
          <w:rFonts w:ascii="DM Serif Display" w:cs="DM Serif Display" w:eastAsia="DM Serif Display" w:hAnsi="DM Serif Display"/>
          <w:color w:val="123C48"/>
          <w:sz w:val="28"/>
          <w:szCs w:val="28"/>
        </w:rPr>
        <w:t xml:space="preserve">16. Cuando la preocupación se refiere a la persona responsable de salvaguarda</w:t>
      </w:r>
    </w:p>
    <w:p>
      <w:pPr>
        <w:spacing w:after="120" w:before="0" w:line="300"/>
      </w:pPr>
      <w:r>
        <w:rPr>
          <w:rFonts w:ascii="Nunito Sans" w:cs="Nunito Sans" w:eastAsia="Nunito Sans" w:hAnsi="Nunito Sans"/>
          <w:color w:val="102E3B"/>
          <w:sz w:val="20"/>
          <w:szCs w:val="20"/>
        </w:rPr>
        <w:t xml:space="preserve">Las preocupaciones sobre la persona responsable de salvaguarda, o sobre casos en los que esté implicada, se dirigen directamente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La persona responsable se aparta, no accede a los registros y no participa en las decisiones. La persona suplente puede pedir cualquier registro que necesite y recurrir a una persona asesora o investigadora externa, como se establece en la Nota sobre el Rol de Contacto Independiente.</w:t>
      </w:r>
    </w:p>
    <w:p>
      <w:pPr>
        <w:pStyle w:val="Heading1"/>
        <w:keepNext/>
        <w:spacing w:after="160" w:before="360"/>
      </w:pPr>
      <w:r>
        <w:rPr>
          <w:rFonts w:ascii="DM Serif Display" w:cs="DM Serif Display" w:eastAsia="DM Serif Display" w:hAnsi="DM Serif Display"/>
          <w:color w:val="123C48"/>
          <w:sz w:val="40"/>
          <w:szCs w:val="40"/>
        </w:rPr>
        <w:t xml:space="preserve">Roles y responsabilidades</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81"/>
        <w:gridCol w:w="7143"/>
      </w:tblGrid>
      <w:tr>
        <w:trPr>
          <w:cantSplit/>
          <w:tblHeader/>
        </w:trPr>
        <w:tc>
          <w:tcPr>
            <w:tcW w:type="dxa" w:w="2381"/>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ROL</w:t>
            </w:r>
          </w:p>
        </w:tc>
        <w:tc>
          <w:tcPr>
            <w:tcW w:type="dxa" w:w="714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RESPONSABILIDADES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Órgano de gobierno</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Aprueba y revisa esta política cada año. Designa a un miembro a cargo de la salvaguarda. Recibe un resumen anonimizado de los casos. Se asegura de que destinamos fondos a la salvaguarda.</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 responsable de salvaguarda</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Es la titular de esta política. Recibe y evalúa las preocupaciones, adopta medidas de protección, realiza derivaciones, lleva los registros y el mapa de derivación, organiza la formación e informa al órgano de gobierno.</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Suplente o contacto independiente</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Gestiona las preocupaciones sobre la persona responsable. Cubre los casos urgentes cuando no se puede localizar a la persona responsable durante más de </w:t>
            </w:r>
            <w:r>
              <w:rPr>
                <w:rFonts w:ascii="Nunito Sans" w:cs="Nunito Sans" w:eastAsia="Nunito Sans" w:hAnsi="Nunito Sans"/>
                <w:color w:val="102E3B"/>
                <w:sz w:val="18"/>
                <w:szCs w:val="18"/>
                <w:highlight w:val="yellow"/>
              </w:rPr>
              <w:t xml:space="preserve">[48 horas]</w:t>
            </w:r>
            <w:r>
              <w:rPr>
                <w:rFonts w:ascii="Nunito Sans" w:cs="Nunito Sans" w:eastAsia="Nunito Sans" w:hAnsi="Nunito Sans"/>
                <w:color w:val="102E3B"/>
                <w:sz w:val="18"/>
                <w:szCs w:val="18"/>
              </w:rPr>
              <w:t xml:space="preserve">. Atiende las solicitudes de revisión.</w:t>
            </w:r>
          </w:p>
        </w:tc>
      </w:tr>
      <w:tr>
        <w:trPr>
          <w:cantSplit/>
          <w:tblHeader w:val="off"/>
        </w:trPr>
        <w:tc>
          <w:tcPr>
            <w:tcW w:type="dxa" w:w="2381"/>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Personas con funciones de dirección y responsables de actividades</w:t>
            </w:r>
          </w:p>
        </w:tc>
        <w:tc>
          <w:tcPr>
            <w:tcW w:type="dxa" w:w="714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Completan las evaluaciones de riesgos, se aseguran de que sus equipos reciban formación y actúan con prontitud ante las preocupaciones.</w:t>
            </w:r>
          </w:p>
        </w:tc>
      </w:tr>
      <w:tr>
        <w:trPr>
          <w:cantSplit/>
          <w:tblHeader w:val="off"/>
        </w:trPr>
        <w:tc>
          <w:tcPr>
            <w:tcW w:type="dxa" w:w="2381"/>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b/>
                <w:bCs/>
                <w:color w:val="102E3B"/>
                <w:sz w:val="18"/>
                <w:szCs w:val="18"/>
              </w:rPr>
              <w:t xml:space="preserve">Todas las personas</w:t>
            </w:r>
          </w:p>
        </w:tc>
        <w:tc>
          <w:tcPr>
            <w:tcW w:type="dxa" w:w="714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Siguen esta política y el Código de Conducta. Informan en un plazo de </w:t>
            </w:r>
            <w:r>
              <w:rPr>
                <w:rFonts w:ascii="Nunito Sans" w:cs="Nunito Sans" w:eastAsia="Nunito Sans" w:hAnsi="Nunito Sans"/>
                <w:color w:val="102E3B"/>
                <w:sz w:val="18"/>
                <w:szCs w:val="18"/>
                <w:highlight w:val="yellow"/>
              </w:rPr>
              <w:t xml:space="preserve">[24 horas]</w:t>
            </w:r>
            <w:r>
              <w:rPr>
                <w:rFonts w:ascii="Nunito Sans" w:cs="Nunito Sans" w:eastAsia="Nunito Sans" w:hAnsi="Nunito Sans"/>
                <w:color w:val="102E3B"/>
                <w:sz w:val="18"/>
                <w:szCs w:val="18"/>
              </w:rPr>
              <w:t xml:space="preserve">. Nunca investigan. Mantienen la confidencialidad de las preocupaciones.</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Registros, confidencialidad y datos</w:t>
      </w:r>
    </w:p>
    <w:p>
      <w:pPr>
        <w:spacing w:after="120" w:before="0" w:line="300"/>
      </w:pPr>
      <w:r>
        <w:rPr>
          <w:rFonts w:ascii="Nunito Sans" w:cs="Nunito Sans" w:eastAsia="Nunito Sans" w:hAnsi="Nunito Sans"/>
          <w:color w:val="102E3B"/>
          <w:sz w:val="20"/>
          <w:szCs w:val="20"/>
        </w:rPr>
        <w:t xml:space="preserve">La persona responsable de salvaguarda lleva un registro confidencial de cada preocupación, incluidas las que no dan lugar a ninguna acción: referencia, fecha y persona que informa (o "anónimo"); lo que se informó, con las palabras de quien informa; personas implicadas; medidas de protección; deseos de la persona sobreviviente; derivaciones realizadas, o por qué no se hicieron; decisiones, motivos y cualquier revisión; y el resultado.</w:t>
      </w:r>
    </w:p>
    <w:p>
      <w:pPr>
        <w:spacing w:after="120" w:before="0" w:line="300"/>
      </w:pPr>
      <w:r>
        <w:rPr>
          <w:rFonts w:ascii="Nunito Sans" w:cs="Nunito Sans" w:eastAsia="Nunito Sans" w:hAnsi="Nunito Sans"/>
          <w:color w:val="102E3B"/>
          <w:sz w:val="20"/>
          <w:szCs w:val="20"/>
        </w:rPr>
        <w:t xml:space="preserve">Los registros se guardan en </w:t>
      </w:r>
      <w:r>
        <w:rPr>
          <w:rFonts w:ascii="Nunito Sans" w:cs="Nunito Sans" w:eastAsia="Nunito Sans" w:hAnsi="Nunito Sans"/>
          <w:color w:val="102E3B"/>
          <w:sz w:val="20"/>
          <w:szCs w:val="20"/>
          <w:highlight w:val="yellow"/>
        </w:rPr>
        <w:t xml:space="preserve">[una carpeta cifrada / un armario bajo llave]</w:t>
      </w:r>
      <w:r>
        <w:rPr>
          <w:rFonts w:ascii="Nunito Sans" w:cs="Nunito Sans" w:eastAsia="Nunito Sans" w:hAnsi="Nunito Sans"/>
          <w:color w:val="102E3B"/>
          <w:sz w:val="20"/>
          <w:szCs w:val="20"/>
        </w:rPr>
        <w:t xml:space="preserve">, con acceso limitado a la persona responsable de salvaguarda y a su suplente, separados de los expedientes de personal. Los registros sobre la persona responsable los guarda la persona suplente. Compartimos información solo con quien necesita conocerla. Las leyes de protección de datos suelen permitir compartir información para proteger a alguien de un daño grave: nunca son un motivo para no actuar.</w:t>
      </w:r>
    </w:p>
    <w:p>
      <w:pPr>
        <w:spacing w:after="120" w:before="0" w:line="300"/>
      </w:pPr>
      <w:r>
        <w:rPr>
          <w:rFonts w:ascii="Nunito Sans" w:cs="Nunito Sans" w:eastAsia="Nunito Sans" w:hAnsi="Nunito Sans"/>
          <w:color w:val="102E3B"/>
          <w:sz w:val="20"/>
          <w:szCs w:val="20"/>
        </w:rPr>
        <w:t xml:space="preserve">Conservamos los registros de los casos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después del cierre del caso, o más tiempo si hay procedimientos judiciales en curso o previstos. Los casos en los que hay un niño, niña o adolescente implicado se conservan hasta que cumpla </w:t>
      </w:r>
      <w:r>
        <w:rPr>
          <w:rFonts w:ascii="Nunito Sans" w:cs="Nunito Sans" w:eastAsia="Nunito Sans" w:hAnsi="Nunito Sans"/>
          <w:color w:val="102E3B"/>
          <w:sz w:val="20"/>
          <w:szCs w:val="20"/>
          <w:highlight w:val="yellow"/>
        </w:rPr>
        <w:t xml:space="preserve">[25]</w:t>
      </w:r>
      <w:r>
        <w:rPr>
          <w:rFonts w:ascii="Nunito Sans" w:cs="Nunito Sans" w:eastAsia="Nunito Sans" w:hAnsi="Nunito Sans"/>
          <w:color w:val="102E3B"/>
          <w:sz w:val="20"/>
          <w:szCs w:val="20"/>
        </w:rPr>
        <w:t xml:space="preserve"> años o durante </w:t>
      </w:r>
      <w:r>
        <w:rPr>
          <w:rFonts w:ascii="Nunito Sans" w:cs="Nunito Sans" w:eastAsia="Nunito Sans" w:hAnsi="Nunito Sans"/>
          <w:color w:val="102E3B"/>
          <w:sz w:val="20"/>
          <w:szCs w:val="20"/>
          <w:highlight w:val="yellow"/>
        </w:rPr>
        <w:t xml:space="preserve">[6 años]</w:t>
      </w:r>
      <w:r>
        <w:rPr>
          <w:rFonts w:ascii="Nunito Sans" w:cs="Nunito Sans" w:eastAsia="Nunito Sans" w:hAnsi="Nunito Sans"/>
          <w:color w:val="102E3B"/>
          <w:sz w:val="20"/>
          <w:szCs w:val="20"/>
        </w:rPr>
        <w:t xml:space="preserve"> tras el cierre, lo que ocurra más tarde. Después, los eliminamos de forma segura y registramos la eliminación.</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CONSERVACIÓN Y PROTECCIÓN DE DATOS</w:t>
            </w:r>
          </w:p>
          <w:p>
            <w:pPr>
              <w:spacing w:after="120" w:before="0" w:line="300"/>
            </w:pPr>
            <w:r>
              <w:rPr>
                <w:rFonts w:ascii="Nunito Sans" w:cs="Nunito Sans" w:eastAsia="Nunito Sans" w:hAnsi="Nunito Sans"/>
                <w:color w:val="102E3B"/>
                <w:sz w:val="19"/>
                <w:szCs w:val="19"/>
              </w:rPr>
              <w:t xml:space="preserve">Revisa tu ley local de protección de datos y añade estos plazos a tu Calendario de Conservación de Registros. Los registros de salvaguarda suelen contener datos sensibles (salud, vida sexual, acusaciones penales). El Reglamento General de Protección de Datos (RGPD) es una referencia muy utilizada; entre las leyes locales están la Kenya Data Protection Act 2019, la Nigeria Data Protection Act 2023, la POPIA de Sudáfrica, la LGPD de Brasil y la DPDP Act 2023 de la India. Nunca guardes registros de salvaguarda en dispositivos personales ni en unidades compartidas de uso general.</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Si se incumple esta política</w:t>
      </w:r>
    </w:p>
    <w:p>
      <w:pPr>
        <w:spacing w:after="120" w:before="0" w:line="300"/>
      </w:pPr>
      <w:r>
        <w:rPr>
          <w:rFonts w:ascii="Nunito Sans" w:cs="Nunito Sans" w:eastAsia="Nunito Sans" w:hAnsi="Nunito Sans"/>
          <w:color w:val="102E3B"/>
          <w:sz w:val="20"/>
          <w:szCs w:val="20"/>
        </w:rPr>
        <w:t xml:space="preserve">El incumplimiento de esta política, incluido no informar de una preocupación, es grave. Según el caso, podemos dar una advertencia; suspender a una persona mientras examinamos el asunto; despedir a una persona empleada o poner fin a un rol, contrato o alianza, conforme a nuestro Procedimiento Disciplinario y de Reclamaciones y a la ley; remitir el asunto a las autoridades; y compartir las conclusiones confirmadas con futuros empleadores que las soliciten, cuando la ley lo permita.</w:t>
      </w:r>
    </w:p>
    <w:p>
      <w:pPr>
        <w:spacing w:after="120" w:before="0" w:line="300"/>
      </w:pPr>
      <w:r>
        <w:rPr>
          <w:rFonts w:ascii="Nunito Sans" w:cs="Nunito Sans" w:eastAsia="Nunito Sans" w:hAnsi="Nunito Sans"/>
          <w:color w:val="102E3B"/>
          <w:sz w:val="20"/>
          <w:szCs w:val="20"/>
        </w:rPr>
        <w:t xml:space="preserve">Las represalias contra cualquier persona que informe o colabore en una revisión constituyen un incumplimiento distinto y grave. También lo es presentar a sabiendas un reporte falso: lo decidimos solo después de una revisión, nunca solo porque una preocupación no haya sido confirmada. Cualquier persona afectada por una decisión puede pedir una revisión en un plazo de </w:t>
      </w:r>
      <w:r>
        <w:rPr>
          <w:rFonts w:ascii="Nunito Sans" w:cs="Nunito Sans" w:eastAsia="Nunito Sans" w:hAnsi="Nunito Sans"/>
          <w:color w:val="102E3B"/>
          <w:sz w:val="20"/>
          <w:szCs w:val="20"/>
          <w:highlight w:val="yellow"/>
        </w:rPr>
        <w:t xml:space="preserve">[30 días]</w:t>
      </w:r>
      <w:r>
        <w:rPr>
          <w:rFonts w:ascii="Nunito Sans" w:cs="Nunito Sans" w:eastAsia="Nunito Sans" w:hAnsi="Nunito Sans"/>
          <w:color w:val="102E3B"/>
          <w:sz w:val="20"/>
          <w:szCs w:val="20"/>
        </w:rPr>
        <w:t xml:space="preserve"> escribiendo a </w:t>
      </w:r>
      <w:r>
        <w:rPr>
          <w:rFonts w:ascii="Nunito Sans" w:cs="Nunito Sans" w:eastAsia="Nunito Sans" w:hAnsi="Nunito Sans"/>
          <w:color w:val="102E3B"/>
          <w:sz w:val="20"/>
          <w:szCs w:val="20"/>
          <w:highlight w:val="yellow"/>
        </w:rPr>
        <w:t xml:space="preserve">[Nombre, cargo]</w:t>
      </w:r>
      <w:r>
        <w:rPr>
          <w:rFonts w:ascii="Nunito Sans" w:cs="Nunito Sans" w:eastAsia="Nunito Sans" w:hAnsi="Nunito Sans"/>
          <w:color w:val="102E3B"/>
          <w:sz w:val="20"/>
          <w:szCs w:val="20"/>
        </w:rPr>
        <w:t xml:space="preserve">, que no haya participado en la decisión original.</w:t>
      </w:r>
    </w:p>
    <w:p>
      <w:pPr>
        <w:pStyle w:val="Heading1"/>
        <w:keepNext/>
        <w:spacing w:after="160" w:before="360"/>
      </w:pPr>
      <w:r>
        <w:rPr>
          <w:rFonts w:ascii="DM Serif Display" w:cs="DM Serif Display" w:eastAsia="DM Serif Display" w:hAnsi="DM Serif Display"/>
          <w:color w:val="123C48"/>
          <w:sz w:val="40"/>
          <w:szCs w:val="40"/>
        </w:rPr>
        <w:t xml:space="preserve">Seguimiento y revisión</w:t>
      </w:r>
    </w:p>
    <w:p>
      <w:pPr>
        <w:spacing w:after="120" w:before="0" w:line="300"/>
      </w:pPr>
      <w:r>
        <w:rPr>
          <w:rFonts w:ascii="Nunito Sans" w:cs="Nunito Sans" w:eastAsia="Nunito Sans" w:hAnsi="Nunito Sans"/>
          <w:color w:val="102E3B"/>
          <w:sz w:val="20"/>
          <w:szCs w:val="20"/>
        </w:rPr>
        <w:t xml:space="preserve">La persona responsable de salvaguarda revisa los casos abiertos cada </w:t>
      </w:r>
      <w:r>
        <w:rPr>
          <w:rFonts w:ascii="Nunito Sans" w:cs="Nunito Sans" w:eastAsia="Nunito Sans" w:hAnsi="Nunito Sans"/>
          <w:color w:val="102E3B"/>
          <w:sz w:val="20"/>
          <w:szCs w:val="20"/>
          <w:highlight w:val="yellow"/>
        </w:rPr>
        <w:t xml:space="preserve">[semana / dos semanas]</w:t>
      </w:r>
      <w:r>
        <w:rPr>
          <w:rFonts w:ascii="Nunito Sans" w:cs="Nunito Sans" w:eastAsia="Nunito Sans" w:hAnsi="Nunito Sans"/>
          <w:color w:val="102E3B"/>
          <w:sz w:val="20"/>
          <w:szCs w:val="20"/>
        </w:rPr>
        <w:t xml:space="preserve"> y entrega al órgano de gobierno un resumen anonimizado cada </w:t>
      </w:r>
      <w:r>
        <w:rPr>
          <w:rFonts w:ascii="Nunito Sans" w:cs="Nunito Sans" w:eastAsia="Nunito Sans" w:hAnsi="Nunito Sans"/>
          <w:color w:val="102E3B"/>
          <w:sz w:val="20"/>
          <w:szCs w:val="20"/>
          <w:highlight w:val="yellow"/>
        </w:rPr>
        <w:t xml:space="preserve">[6 / 12]</w:t>
      </w:r>
      <w:r>
        <w:rPr>
          <w:rFonts w:ascii="Nunito Sans" w:cs="Nunito Sans" w:eastAsia="Nunito Sans" w:hAnsi="Nunito Sans"/>
          <w:color w:val="102E3B"/>
          <w:sz w:val="20"/>
          <w:szCs w:val="20"/>
        </w:rPr>
        <w:t xml:space="preserve"> meses: número y tipo de preocupaciones, tiempo empleado, resultados y lecciones aprendidas. Revisamos esta política cada </w:t>
      </w:r>
      <w:r>
        <w:rPr>
          <w:rFonts w:ascii="Nunito Sans" w:cs="Nunito Sans" w:eastAsia="Nunito Sans" w:hAnsi="Nunito Sans"/>
          <w:color w:val="102E3B"/>
          <w:sz w:val="20"/>
          <w:szCs w:val="20"/>
          <w:highlight w:val="yellow"/>
        </w:rPr>
        <w:t xml:space="preserve">[12 meses]</w:t>
      </w:r>
      <w:r>
        <w:rPr>
          <w:rFonts w:ascii="Nunito Sans" w:cs="Nunito Sans" w:eastAsia="Nunito Sans" w:hAnsi="Nunito Sans"/>
          <w:color w:val="102E3B"/>
          <w:sz w:val="20"/>
          <w:szCs w:val="20"/>
        </w:rPr>
        <w:t xml:space="preserve">, después de cualquier incidente grave y cuando cambian la ley o nuestras actividades.</w:t>
      </w:r>
    </w:p>
    <w:p>
      <w:pPr>
        <w:spacing w:after="120" w:before="0" w:line="300"/>
      </w:pPr>
      <w:r>
        <w:rPr>
          <w:rFonts w:ascii="Nunito Sans" w:cs="Nunito Sans" w:eastAsia="Nunito Sans" w:hAnsi="Nunito Sans"/>
          <w:color w:val="102E3B"/>
          <w:sz w:val="20"/>
          <w:szCs w:val="20"/>
        </w:rPr>
        <w:t xml:space="preserve">Esta política se basa en la Convención sobre los Derechos del Niño de las Naciones Unidas (1989), la Convención sobre los Derechos de las Personas con Discapacidad de las Naciones Unidas (2006), los Seis Principios Básicos del IASC (2019), el Boletín del Secretario General de las Naciones Unidas sobre medidas especiales de protección contra la explotación y el abuso sexuales (ST/SGB/2003/13), la Norma Humanitaria Esencial en materia de Calidad y Rendición de Cuentas (CHS) y las normas Keeping Children Safe.</w:t>
      </w:r>
    </w:p>
    <w:p>
      <w:pPr>
        <w:pStyle w:val="Heading1"/>
        <w:keepNext/>
        <w:spacing w:after="160" w:before="360"/>
      </w:pPr>
      <w:r>
        <w:rPr>
          <w:rFonts w:ascii="DM Serif Display" w:cs="DM Serif Display" w:eastAsia="DM Serif Display" w:hAnsi="DM Serif Display"/>
          <w:color w:val="123C48"/>
          <w:sz w:val="40"/>
          <w:szCs w:val="40"/>
        </w:rPr>
        <w:t xml:space="preserve">Documentos relacionados</w:t>
      </w:r>
    </w:p>
    <w:p>
      <w:pPr>
        <w:pStyle w:val="ListParagraph"/>
        <w:numPr>
          <w:ilvl w:val="0"/>
          <w:numId w:val="3"/>
        </w:numPr>
        <w:spacing w:after="80" w:line="290"/>
      </w:pPr>
      <w:r>
        <w:rPr>
          <w:rFonts w:ascii="Nunito Sans" w:cs="Nunito Sans" w:eastAsia="Nunito Sans" w:hAnsi="Nunito Sans"/>
          <w:color w:val="102E3B"/>
          <w:sz w:val="20"/>
          <w:szCs w:val="20"/>
        </w:rPr>
        <w:t xml:space="preserve">Código de Conducta</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contra el Acoso, la Intimidación y el Hostigamiento</w:t>
      </w:r>
    </w:p>
    <w:p>
      <w:pPr>
        <w:pStyle w:val="ListParagraph"/>
        <w:numPr>
          <w:ilvl w:val="0"/>
          <w:numId w:val="3"/>
        </w:numPr>
        <w:spacing w:after="80" w:line="290"/>
      </w:pPr>
      <w:r>
        <w:rPr>
          <w:rFonts w:ascii="Nunito Sans" w:cs="Nunito Sans" w:eastAsia="Nunito Sans" w:hAnsi="Nunito Sans"/>
          <w:color w:val="102E3B"/>
          <w:sz w:val="20"/>
          <w:szCs w:val="20"/>
        </w:rPr>
        <w:t xml:space="preserve">Política y Procedimiento de Denuncia de Irregularidades</w:t>
      </w:r>
    </w:p>
    <w:p>
      <w:pPr>
        <w:pStyle w:val="ListParagraph"/>
        <w:numPr>
          <w:ilvl w:val="0"/>
          <w:numId w:val="3"/>
        </w:numPr>
        <w:spacing w:after="80" w:line="290"/>
      </w:pPr>
      <w:r>
        <w:rPr>
          <w:rFonts w:ascii="Nunito Sans" w:cs="Nunito Sans" w:eastAsia="Nunito Sans" w:hAnsi="Nunito Sans"/>
          <w:color w:val="102E3B"/>
          <w:sz w:val="20"/>
          <w:szCs w:val="20"/>
        </w:rPr>
        <w:t xml:space="preserve">Nota sobre el Rol de Contacto Independiente</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Notificación de Incidentes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Quejas y Retroalimentación</w:t>
      </w:r>
    </w:p>
    <w:p>
      <w:pPr>
        <w:pStyle w:val="ListParagraph"/>
        <w:numPr>
          <w:ilvl w:val="0"/>
          <w:numId w:val="3"/>
        </w:numPr>
        <w:spacing w:after="80" w:line="290"/>
      </w:pPr>
      <w:r>
        <w:rPr>
          <w:rFonts w:ascii="Nunito Sans" w:cs="Nunito Sans" w:eastAsia="Nunito Sans" w:hAnsi="Nunito Sans"/>
          <w:color w:val="102E3B"/>
          <w:sz w:val="20"/>
          <w:szCs w:val="20"/>
        </w:rPr>
        <w:t xml:space="preserve">Formulario de Consentimiento para Fotos e Historias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Protección de Datos</w:t>
      </w:r>
    </w:p>
    <w:p>
      <w:pPr>
        <w:pStyle w:val="ListParagraph"/>
        <w:numPr>
          <w:ilvl w:val="0"/>
          <w:numId w:val="3"/>
        </w:numPr>
        <w:spacing w:after="80" w:line="290"/>
      </w:pPr>
      <w:r>
        <w:rPr>
          <w:rFonts w:ascii="Nunito Sans" w:cs="Nunito Sans" w:eastAsia="Nunito Sans" w:hAnsi="Nunito Sans"/>
          <w:color w:val="102E3B"/>
          <w:sz w:val="20"/>
          <w:szCs w:val="20"/>
        </w:rPr>
        <w:t xml:space="preserve">Política de Debida Diligencia de Socios y Control de Sanciones</w:t>
      </w:r>
    </w:p>
    <w:p>
      <w:pPr>
        <w:pStyle w:val="ListParagraph"/>
        <w:numPr>
          <w:ilvl w:val="0"/>
          <w:numId w:val="3"/>
        </w:numPr>
        <w:spacing w:after="80" w:line="290"/>
      </w:pPr>
      <w:r>
        <w:rPr>
          <w:rFonts w:ascii="Nunito Sans" w:cs="Nunito Sans" w:eastAsia="Nunito Sans" w:hAnsi="Nunito Sans"/>
          <w:color w:val="102E3B"/>
          <w:sz w:val="20"/>
          <w:szCs w:val="20"/>
          <w:highlight w:val="yellow"/>
        </w:rPr>
        <w:t xml:space="preserve">[Contratos de trabajo, acuerdos de voluntariado y acuerdos de subvención a socios]</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de Contratación Segura</w:t>
      </w:r>
    </w:p>
    <w:p>
      <w:pPr>
        <w:pStyle w:val="ListParagraph"/>
        <w:numPr>
          <w:ilvl w:val="0"/>
          <w:numId w:val="3"/>
        </w:numPr>
        <w:spacing w:after="80" w:line="290"/>
      </w:pPr>
      <w:r>
        <w:rPr>
          <w:rFonts w:ascii="Nunito Sans" w:cs="Nunito Sans" w:eastAsia="Nunito Sans" w:hAnsi="Nunito Sans"/>
          <w:color w:val="102E3B"/>
          <w:sz w:val="20"/>
          <w:szCs w:val="20"/>
        </w:rPr>
        <w:t xml:space="preserve">Procedimiento Disciplinario y de Reclamaciones</w:t>
      </w:r>
    </w:p>
    <w:p>
      <w:pPr>
        <w:pStyle w:val="Heading1"/>
        <w:keepNext/>
        <w:spacing w:after="160" w:before="360"/>
      </w:pPr>
      <w:r>
        <w:rPr>
          <w:rFonts w:ascii="DM Serif Display" w:cs="DM Serif Display" w:eastAsia="DM Serif Display" w:hAnsi="DM Serif Display"/>
          <w:color w:val="123C48"/>
          <w:sz w:val="40"/>
          <w:szCs w:val="40"/>
        </w:rPr>
        <w:t xml:space="preserve">Declaración de conformidad</w:t>
      </w:r>
    </w:p>
    <w:p>
      <w:pPr>
        <w:spacing w:after="120" w:before="0" w:line="300"/>
      </w:pPr>
      <w:r>
        <w:rPr>
          <w:rFonts w:ascii="Nunito Sans" w:cs="Nunito Sans" w:eastAsia="Nunito Sans" w:hAnsi="Nunito Sans"/>
          <w:color w:val="102E3B"/>
          <w:sz w:val="20"/>
          <w:szCs w:val="20"/>
        </w:rPr>
        <w:t xml:space="preserve">Todas las personas confirman esta política al incorporarse y cada vez que cambia de forma significativa.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trPr>
        <w:tc>
          <w:tcPr>
            <w:tcW w:type="dxa" w:w="9524"/>
            <w:tcBorders>
              <w:top w:val="none" w:color="FFFFFF" w:sz="0"/>
              <w:left w:val="single" w:color="123C48" w:sz="24"/>
              <w:bottom w:val="none" w:color="FFFFFF" w:sz="0"/>
              <w:right w:val="none" w:color="FFFFFF" w:sz="0"/>
            </w:tcBorders>
            <w:shd w:fill="FFFAF3"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123C48"/>
                <w:spacing w:val="30"/>
                <w:sz w:val="15"/>
                <w:szCs w:val="15"/>
              </w:rPr>
              <w:t xml:space="preserve">DECLARACIÓN</w:t>
            </w:r>
          </w:p>
          <w:p>
            <w:pPr>
              <w:spacing w:after="120" w:before="0" w:line="300"/>
            </w:pPr>
            <w:r>
              <w:rPr>
                <w:rFonts w:ascii="Nunito Sans" w:cs="Nunito Sans" w:eastAsia="Nunito Sans" w:hAnsi="Nunito Sans"/>
                <w:color w:val="102E3B"/>
                <w:sz w:val="19"/>
                <w:szCs w:val="19"/>
              </w:rPr>
              <w:t xml:space="preserve">He leído la Política y Procedimiento de Salvaguarda de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he tenido la oportunidad de hacer preguntas. La cumpliré, informaré de cualquier preocupación en un plazo de </w:t>
            </w:r>
            <w:r>
              <w:rPr>
                <w:rFonts w:ascii="Nunito Sans" w:cs="Nunito Sans" w:eastAsia="Nunito Sans" w:hAnsi="Nunito Sans"/>
                <w:color w:val="102E3B"/>
                <w:sz w:val="19"/>
                <w:szCs w:val="19"/>
                <w:highlight w:val="yellow"/>
              </w:rPr>
              <w:t xml:space="preserve">[24 horas]</w:t>
            </w:r>
            <w:r>
              <w:rPr>
                <w:rFonts w:ascii="Nunito Sans" w:cs="Nunito Sans" w:eastAsia="Nunito Sans" w:hAnsi="Nunito Sans"/>
                <w:color w:val="102E3B"/>
                <w:sz w:val="19"/>
                <w:szCs w:val="19"/>
              </w:rPr>
              <w:t xml:space="preserve"> y nunca investigaré una preocupación por mi cuenta. Entiendo que incumplir esta política puede suponer el fin de mi rol en </w:t>
            </w:r>
            <w:r>
              <w:rPr>
                <w:rFonts w:ascii="Nunito Sans" w:cs="Nunito Sans" w:eastAsia="Nunito Sans" w:hAnsi="Nunito Sans"/>
                <w:color w:val="102E3B"/>
                <w:sz w:val="19"/>
                <w:szCs w:val="19"/>
                <w:highlight w:val="yellow"/>
              </w:rPr>
              <w:t xml:space="preserve">[Nombre de la organización]</w:t>
            </w:r>
            <w:r>
              <w:rPr>
                <w:rFonts w:ascii="Nunito Sans" w:cs="Nunito Sans" w:eastAsia="Nunito Sans" w:hAnsi="Nunito Sans"/>
                <w:color w:val="102E3B"/>
                <w:sz w:val="19"/>
                <w:szCs w:val="19"/>
              </w:rPr>
              <w:t xml:space="preserve"> y, cuando proceda, la remisión a las autoridades.</w:t>
            </w: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Nombre</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Cargo</w:t>
            </w:r>
          </w:p>
        </w:tc>
      </w:tr>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r>
        <w:br w:type="page"/>
      </w:r>
    </w:p>
    <w:p>
      <w:pPr>
        <w:pStyle w:val="Heading1"/>
        <w:keepNext/>
        <w:spacing w:after="160" w:before="360"/>
      </w:pPr>
      <w:r>
        <w:rPr>
          <w:rFonts w:ascii="DM Serif Display" w:cs="DM Serif Display" w:eastAsia="DM Serif Display" w:hAnsi="DM Serif Display"/>
          <w:color w:val="123C48"/>
          <w:sz w:val="40"/>
          <w:szCs w:val="40"/>
        </w:rPr>
        <w:t xml:space="preserve">Anexo A: Formulario de reporte de una preocupación de salvaguarda</w:t>
      </w:r>
    </w:p>
    <w:p>
      <w:pPr>
        <w:spacing w:after="120" w:before="0" w:line="300"/>
      </w:pPr>
      <w:r>
        <w:rPr>
          <w:rFonts w:ascii="Nunito Sans" w:cs="Nunito Sans" w:eastAsia="Nunito Sans" w:hAnsi="Nunito Sans"/>
          <w:color w:val="102E3B"/>
          <w:sz w:val="20"/>
          <w:szCs w:val="20"/>
        </w:rPr>
        <w:t xml:space="preserve">Complete este formulario en un plazo de </w:t>
      </w:r>
      <w:r>
        <w:rPr>
          <w:rFonts w:ascii="Nunito Sans" w:cs="Nunito Sans" w:eastAsia="Nunito Sans" w:hAnsi="Nunito Sans"/>
          <w:color w:val="102E3B"/>
          <w:sz w:val="20"/>
          <w:szCs w:val="20"/>
          <w:highlight w:val="yellow"/>
        </w:rPr>
        <w:t xml:space="preserve">[24 horas]</w:t>
      </w:r>
      <w:r>
        <w:rPr>
          <w:rFonts w:ascii="Nunito Sans" w:cs="Nunito Sans" w:eastAsia="Nunito Sans" w:hAnsi="Nunito Sans"/>
          <w:color w:val="102E3B"/>
          <w:sz w:val="20"/>
          <w:szCs w:val="20"/>
        </w:rPr>
        <w:t xml:space="preserve">. Escriba hechos, con las propias palabras de la persona. Entréguelo solo a la persona responsable de salvaguarda (o a la suplente si se refiere a la responsable) y no guarde ninguna copia.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PREGUNTA</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RESPUESTA</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Su nombre, cargo y datos de contacto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y hora en que completa este formulario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edad y sexo de la persona en riesgo (si se conocen). ¿Es menor de 18 años?</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¿Dónde está ahora? ¿Está a salvo?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Fecha, hora y lugar de lo ocurrido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¿Cómo se enteró? (se lo contaron, lo vio, se lo dijo otra persona, en línea)</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¿Qué ocurrió? Use las propias palabras de la persona.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Nombre, cargo y vínculo con nosotros de la persona a la que se atribuye el daño (si se conocen)</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otra persona que lo haya visto o que lo sepa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Cualquier lesión o angustia que haya observado (descríbala; no examine)</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 que dijo o hizo en respuesta</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Lo que la persona en riesgo quiere que ocurra</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 quién más se lo ha contado, incluidos los servicios de emergencia, y cuándo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62"/>
        <w:gridCol w:w="4862"/>
      </w:tblGrid>
      <w:tr>
        <w:trPr>
          <w:cantSplit/>
        </w:trPr>
        <w:tc>
          <w:tcPr>
            <w:tcW w:type="dxa" w:w="46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Firma de la persona que informa</w:t>
            </w:r>
          </w:p>
        </w:tc>
        <w:tc>
          <w:tcPr>
            <w:tcW w:type="dxa" w:w="4862"/>
            <w:tcBorders>
              <w:top w:val="none" w:color="FFFFFF" w:sz="0"/>
              <w:left w:val="none" w:color="FFFFFF" w:sz="0"/>
              <w:bottom w:val="single" w:color="123C48" w:sz="6"/>
              <w:right w:val="none" w:color="FFFFFF" w:sz="0"/>
            </w:tcBorders>
            <w:tcMar>
              <w:top w:type="dxa" w:w="240"/>
              <w:left w:type="dxa" w:w="0"/>
              <w:bottom w:type="dxa" w:w="60"/>
              <w:right w:type="dxa" w:w="240"/>
            </w:tcMar>
            <w:vAlign w:val="bottom"/>
          </w:tcPr>
          <w:p>
            <w:pPr>
              <w:spacing w:after="0"/>
            </w:pPr>
            <w:r>
              <w:rPr>
                <w:sz w:val="20"/>
                <w:szCs w:val="20"/>
              </w:rPr>
              <w:t xml:space="preserve"/>
            </w:r>
          </w:p>
          <w:p>
            <w:pPr>
              <w:spacing w:after="0"/>
            </w:pPr>
            <w:r>
              <w:rPr>
                <w:rFonts w:ascii="Nunito Sans" w:cs="Nunito Sans" w:eastAsia="Nunito Sans" w:hAnsi="Nunito Sans"/>
                <w:color w:val="5B6F78"/>
                <w:sz w:val="16"/>
                <w:szCs w:val="16"/>
              </w:rPr>
              <w:t xml:space="preserve">Fecha</w:t>
            </w:r>
          </w:p>
        </w:tc>
      </w:tr>
    </w:tbl>
    <w:p>
      <w:pPr>
        <w:spacing w:after="120"/>
      </w:pPr>
    </w:p>
    <w:p>
      <w:pPr>
        <w:keepNext/>
        <w:spacing w:after="80" w:before="120"/>
      </w:pPr>
      <w:r>
        <w:rPr>
          <w:rFonts w:ascii="Nunito Sans" w:cs="Nunito Sans" w:eastAsia="Nunito Sans" w:hAnsi="Nunito Sans"/>
          <w:b/>
          <w:bCs/>
          <w:color w:val="16746E"/>
          <w:spacing w:val="30"/>
          <w:sz w:val="15"/>
          <w:szCs w:val="15"/>
        </w:rPr>
        <w:t xml:space="preserve">PARA LA PERSONA RESPONSABLE DE SALVAGUARDA</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85"/>
        <w:gridCol w:w="5239"/>
      </w:tblGrid>
      <w:tr>
        <w:trPr>
          <w:cantSplit/>
          <w:tblHeader/>
        </w:trPr>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ELEMENTO</w:t>
            </w:r>
          </w:p>
        </w:tc>
        <w:tc>
          <w:tcPr>
            <w:tcW w:type="dxa" w:w="5239"/>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REGISTRO</w:t>
            </w: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Número de referencia; fecha y hora de recepción; fecha del acuse de recibo</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Evaluación inmediata del riesgo y medidas de protección</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Derivaciones realizadas, o motivo para no derivar</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Financiadores, reguladores o aseguradoras notificados (quién, cuándo)</w:t>
            </w:r>
          </w:p>
        </w:tc>
        <w:tc>
          <w:tcPr>
            <w:tcW w:type="dxa" w:w="5239"/>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Resultado y fecha de cierre</w:t>
            </w:r>
          </w:p>
        </w:tc>
        <w:tc>
          <w:tcPr>
            <w:tcW w:type="dxa" w:w="5239"/>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Anexo B: Mapa de la ruta de derivación</w:t>
      </w:r>
    </w:p>
    <w:p>
      <w:pPr>
        <w:spacing w:after="120" w:before="0" w:line="300"/>
      </w:pPr>
      <w:r>
        <w:rPr>
          <w:rFonts w:ascii="Nunito Sans" w:cs="Nunito Sans" w:eastAsia="Nunito Sans" w:hAnsi="Nunito Sans"/>
          <w:color w:val="102E3B"/>
          <w:sz w:val="20"/>
          <w:szCs w:val="20"/>
        </w:rPr>
        <w:t xml:space="preserve">Complete una tabla para cada lugar donde trabajamos. Compruebe cada servicio antes de incluirlo y actualice este mapa cada </w:t>
      </w:r>
      <w:r>
        <w:rPr>
          <w:rFonts w:ascii="Nunito Sans" w:cs="Nunito Sans" w:eastAsia="Nunito Sans" w:hAnsi="Nunito Sans"/>
          <w:color w:val="102E3B"/>
          <w:sz w:val="20"/>
          <w:szCs w:val="20"/>
          <w:highlight w:val="yellow"/>
        </w:rPr>
        <w:t xml:space="preserve">[6 meses]</w:t>
      </w:r>
      <w:r>
        <w:rPr>
          <w:rFonts w:ascii="Nunito Sans" w:cs="Nunito Sans" w:eastAsia="Nunito Sans" w:hAnsi="Nunito Sans"/>
          <w:color w:val="102E3B"/>
          <w:sz w:val="20"/>
          <w:szCs w:val="20"/>
        </w:rPr>
        <w:t xml:space="preserve">.</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76"/>
        <w:gridCol w:w="2857"/>
        <w:gridCol w:w="1714"/>
        <w:gridCol w:w="2477"/>
      </w:tblGrid>
      <w:tr>
        <w:trPr>
          <w:cantSplit/>
          <w:tblHeader/>
        </w:trPr>
        <w:tc>
          <w:tcPr>
            <w:tcW w:type="dxa" w:w="2476"/>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SERVICIO</w:t>
            </w:r>
          </w:p>
        </w:tc>
        <w:tc>
          <w:tcPr>
            <w:tcW w:type="dxa" w:w="285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NOMBRE, DIRECCIÓN, HORARIO</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CONTACTO</w:t>
            </w:r>
          </w:p>
        </w:tc>
        <w:tc>
          <w:tcPr>
            <w:tcW w:type="dxa" w:w="2477"/>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NOTAS (COSTE, IDIOMAS, CONFIDENCIALIDAD, QUIÉN LO COMPROBÓ Y CUÁNDO)</w:t>
            </w: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Servicios de emergencia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[número de emergencia local]</w:t>
            </w: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Policía (incluida cualquier unidad de infancia o de género)</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Servicios de protección de la infancia</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oficial de infancia, departamento de bienestar social]</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Línea de ayuda a la infancia</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Servicios de VG (casa de acogida, centro de atención integral, organización de mujeres)</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Atención sanitaria, incluida la atención posviolación</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Salud mental y apoyo psicosocial</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Asistencia jurídica</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Apoyo a personas con discapacidad</w:t>
            </w:r>
          </w:p>
        </w:tc>
        <w:tc>
          <w:tcPr>
            <w:tcW w:type="dxa" w:w="285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p>
        </w:tc>
      </w:tr>
      <w:tr>
        <w:trPr>
          <w:cantSplit/>
          <w:tblHeader w:val="off"/>
        </w:trPr>
        <w:tc>
          <w:tcPr>
            <w:tcW w:type="dxa" w:w="2476"/>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Grupo de coordinación</w:t>
            </w:r>
          </w:p>
        </w:tc>
        <w:tc>
          <w:tcPr>
            <w:tcW w:type="dxa" w:w="285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[p. ej., grupo de trabajo sobre VG o protección de la infancia]</w:t>
            </w: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477"/>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after="120"/>
      </w:pP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524"/>
      </w:tblGrid>
      <w:tr>
        <w:trPr>
          <w:cantSplit w:val="off"/>
        </w:trPr>
        <w:tc>
          <w:tcPr>
            <w:tcW w:type="dxa" w:w="9524"/>
            <w:tcBorders>
              <w:top w:val="none" w:color="FFFFFF" w:sz="0"/>
              <w:left w:val="single" w:color="E56F4A" w:sz="24"/>
              <w:bottom w:val="none" w:color="FFFFFF" w:sz="0"/>
              <w:right w:val="none" w:color="FFFFFF" w:sz="0"/>
            </w:tcBorders>
            <w:shd w:fill="FDF2D8" w:color="auto" w:val="clear"/>
            <w:tcMar>
              <w:top w:type="dxa" w:w="200"/>
              <w:left w:type="dxa" w:w="280"/>
              <w:bottom w:type="dxa" w:w="120"/>
              <w:right w:type="dxa" w:w="280"/>
            </w:tcMar>
          </w:tcPr>
          <w:p>
            <w:pPr>
              <w:keepNext/>
              <w:spacing w:after="100" w:before="0"/>
            </w:pPr>
            <w:r>
              <w:rPr>
                <w:rFonts w:ascii="Nunito Sans" w:cs="Nunito Sans" w:eastAsia="Nunito Sans" w:hAnsi="Nunito Sans"/>
                <w:b/>
                <w:bCs/>
                <w:color w:val="B04A2B"/>
                <w:spacing w:val="30"/>
                <w:sz w:val="15"/>
                <w:szCs w:val="15"/>
              </w:rPr>
              <w:t xml:space="preserve">ADÁPTALO · MAPEO DE LOS SERVICIOS DE DERIVACIÓN</w:t>
            </w:r>
          </w:p>
          <w:p>
            <w:pPr>
              <w:spacing w:after="120" w:before="0" w:line="300"/>
            </w:pPr>
            <w:r>
              <w:rPr>
                <w:rFonts w:ascii="Nunito Sans" w:cs="Nunito Sans" w:eastAsia="Nunito Sans" w:hAnsi="Nunito Sans"/>
                <w:color w:val="102E3B"/>
                <w:sz w:val="19"/>
                <w:szCs w:val="19"/>
              </w:rPr>
              <w:t xml:space="preserve">Empieza por los departamentos locales de infancia y bienestar social, la línea nacional de ayuda a la infancia y cualquier grupo de trabajo sobre VG o protección de la infancia (en contextos humanitarios, los subclústeres publican rutas de derivación). Llama a cada servicio y pregunta qué ocurre con una persona sobreviviente que acude a ellos. Anota cualquier servicio que exija una denuncia policial antes de prestar atención médica, porque esto disuade a las personas sobrevivientes. Si no existe ningún servicio seguro para un tipo de apoyo, déjalo por escrito.</w:t>
            </w:r>
          </w:p>
        </w:tc>
      </w:tr>
    </w:tbl>
    <w:p>
      <w:pPr>
        <w:spacing w:after="120"/>
      </w:pPr>
    </w:p>
    <w:p>
      <w:pPr>
        <w:pStyle w:val="Heading1"/>
        <w:keepNext/>
        <w:spacing w:after="160" w:before="360"/>
      </w:pPr>
      <w:r>
        <w:rPr>
          <w:rFonts w:ascii="DM Serif Display" w:cs="DM Serif Display" w:eastAsia="DM Serif Display" w:hAnsi="DM Serif Display"/>
          <w:color w:val="123C48"/>
          <w:sz w:val="40"/>
          <w:szCs w:val="40"/>
        </w:rPr>
        <w:t xml:space="preserve">Historial del documento</w:t>
      </w:r>
    </w:p>
    <w:tbl>
      <w:tblPr>
        <w:tblW w:type="dxa" w:w="9524"/>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42"/>
        <w:gridCol w:w="1714"/>
        <w:gridCol w:w="4285"/>
        <w:gridCol w:w="2383"/>
      </w:tblGrid>
      <w:tr>
        <w:trPr>
          <w:cantSplit/>
          <w:tblHeader/>
        </w:trPr>
        <w:tc>
          <w:tcPr>
            <w:tcW w:type="dxa" w:w="1142"/>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VERSIÓN</w:t>
            </w:r>
          </w:p>
        </w:tc>
        <w:tc>
          <w:tcPr>
            <w:tcW w:type="dxa" w:w="1714"/>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FECHA</w:t>
            </w:r>
          </w:p>
        </w:tc>
        <w:tc>
          <w:tcPr>
            <w:tcW w:type="dxa" w:w="4285"/>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QUÉ CAMBIÓ</w:t>
            </w:r>
          </w:p>
        </w:tc>
        <w:tc>
          <w:tcPr>
            <w:tcW w:type="dxa" w:w="2383"/>
            <w:tcBorders>
              <w:top w:val="single" w:color="D9DED8" w:sz="4"/>
              <w:left w:val="single" w:color="D9DED8" w:sz="4"/>
              <w:bottom w:val="single" w:color="D9DED8" w:sz="4"/>
              <w:right w:val="single" w:color="D9DED8" w:sz="4"/>
            </w:tcBorders>
            <w:shd w:fill="123C48" w:color="auto" w:val="clear"/>
            <w:tcMar>
              <w:top w:type="dxa" w:w="80"/>
              <w:left w:type="dxa" w:w="120"/>
              <w:bottom w:type="dxa" w:w="80"/>
              <w:right w:type="dxa" w:w="120"/>
            </w:tcMar>
          </w:tcPr>
          <w:p>
            <w:pPr>
              <w:spacing w:after="40" w:line="260"/>
            </w:pPr>
            <w:r>
              <w:rPr>
                <w:rFonts w:ascii="Nunito Sans" w:cs="Nunito Sans" w:eastAsia="Nunito Sans" w:hAnsi="Nunito Sans"/>
                <w:b/>
                <w:bCs/>
                <w:color w:val="FFFAF3"/>
                <w:spacing w:val="20"/>
                <w:sz w:val="15"/>
                <w:szCs w:val="15"/>
              </w:rPr>
              <w:t xml:space="preserve">APROBADO POR</w:t>
            </w:r>
          </w:p>
        </w:tc>
      </w:tr>
      <w:tr>
        <w:trPr>
          <w:cantSplit/>
          <w:tblHeader w:val="off"/>
        </w:trPr>
        <w:tc>
          <w:tcPr>
            <w:tcW w:type="dxa" w:w="1142"/>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[1.0]</w:t>
            </w:r>
          </w:p>
        </w:tc>
        <w:tc>
          <w:tcPr>
            <w:tcW w:type="dxa" w:w="1714"/>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[DD de mes de AAAA]</w:t>
            </w:r>
          </w:p>
        </w:tc>
        <w:tc>
          <w:tcPr>
            <w:tcW w:type="dxa" w:w="4285"/>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rPr>
              <w:t xml:space="preserve">Primera versión, adaptada de la plantilla Política y Procedimiento de Salvaguarda de Method into Impact (v1.0)</w:t>
            </w:r>
          </w:p>
        </w:tc>
        <w:tc>
          <w:tcPr>
            <w:tcW w:type="dxa" w:w="2383"/>
            <w:tcBorders>
              <w:top w:val="single" w:color="D9DED8" w:sz="4"/>
              <w:left w:val="single" w:color="D9DED8" w:sz="4"/>
              <w:bottom w:val="single" w:color="D9DED8" w:sz="4"/>
              <w:right w:val="single" w:color="D9DED8" w:sz="4"/>
            </w:tcBorders>
            <w:shd w:fill="FFFFFF" w:color="auto" w:val="clear"/>
            <w:tcMar>
              <w:top w:type="dxa" w:w="80"/>
              <w:left w:type="dxa" w:w="120"/>
              <w:bottom w:type="dxa" w:w="80"/>
              <w:right w:type="dxa" w:w="120"/>
            </w:tcMar>
          </w:tcPr>
          <w:p>
            <w:pPr>
              <w:spacing w:after="40" w:line="260"/>
            </w:pPr>
            <w:r>
              <w:rPr>
                <w:rFonts w:ascii="Nunito Sans" w:cs="Nunito Sans" w:eastAsia="Nunito Sans" w:hAnsi="Nunito Sans"/>
                <w:color w:val="102E3B"/>
                <w:sz w:val="18"/>
                <w:szCs w:val="18"/>
                <w:highlight w:val="yellow"/>
              </w:rPr>
              <w:t xml:space="preserve">[Nombre, cargo]</w:t>
            </w:r>
          </w:p>
        </w:tc>
      </w:tr>
      <w:tr>
        <w:trPr>
          <w:cantSplit/>
          <w:tblHeader w:val="off"/>
        </w:trPr>
        <w:tc>
          <w:tcPr>
            <w:tcW w:type="dxa" w:w="1142"/>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1714"/>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4285"/>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c>
          <w:tcPr>
            <w:tcW w:type="dxa" w:w="2383"/>
            <w:tcBorders>
              <w:top w:val="single" w:color="D9DED8" w:sz="4"/>
              <w:left w:val="single" w:color="D9DED8" w:sz="4"/>
              <w:bottom w:val="single" w:color="D9DED8" w:sz="4"/>
              <w:right w:val="single" w:color="D9DED8" w:sz="4"/>
            </w:tcBorders>
            <w:shd w:fill="FFFAF3" w:color="auto" w:val="clear"/>
            <w:tcMar>
              <w:top w:type="dxa" w:w="80"/>
              <w:left w:type="dxa" w:w="120"/>
              <w:bottom w:type="dxa" w:w="80"/>
              <w:right w:type="dxa" w:w="120"/>
            </w:tcMar>
          </w:tcPr>
          <w:p>
            <w:pPr>
              <w:spacing w:after="40" w:line="260"/>
            </w:pPr>
          </w:p>
        </w:tc>
      </w:tr>
    </w:tbl>
    <w:p>
      <w:pPr>
        <w:spacing w:before="480"/>
        <w:jc w:val="center"/>
      </w:pPr>
      <w:r>
        <w:rPr>
          <w:rFonts w:ascii="Nunito Sans" w:cs="Nunito Sans" w:eastAsia="Nunito Sans" w:hAnsi="Nunito Sans"/>
          <w:color w:val="5B6F78"/>
          <w:sz w:val="15"/>
          <w:szCs w:val="15"/>
        </w:rPr>
        <w:t xml:space="preserve">Adaptado de una plantilla de Method into Impact · Mejores bases. Organizaciones más fuertes. · methodintoimpact.com</w:t>
      </w:r>
    </w:p>
    <w:sectPr>
      <w:headerReference w:type="default" r:id="rId6"/>
      <w:footerReference w:type="default" r:id="rId7"/>
      <w:pgSz w:w="11906" w:h="16838" w:orient="portrait"/>
      <w:pgMar w:top="1300" w:right="1191" w:bottom="1200" w:left="1191" w:header="560" w:footer="560"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unito Sans">
    <w:family w:val="auto"/>
    <w:pitch w:val="variable"/>
    <w:sig w:usb0="E0002AFF" w:usb1="C000247B" w:usb2="00000009" w:usb3="00000000" w:csb0="000001FF" w:csb1="00000000"/>
    <w:embedRegular r:id="rId1" w:fontKey="{9A67A262-97CF-1A0E-B7CC-5FEAAA1EA358}"/>
  </w:font>
  <w:font w:name="DM Serif Display">
    <w:family w:val="auto"/>
    <w:pitch w:val="variable"/>
    <w:sig w:usb0="E0002AFF" w:usb1="C000247B" w:usb2="00000009" w:usb3="00000000" w:csb0="000001FF" w:csb1="00000000"/>
    <w:embedRegular r:id="rId2" w:fontKey="{C271BC15-B307-FD46-CFDC-2011D833E01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ED8" w:sz="4" w:space="6"/>
      </w:pBdr>
      <w:tabs>
        <w:tab w:val="right" w:pos="9524"/>
      </w:tabs>
    </w:pPr>
    <w:r>
      <w:rPr>
        <w:rFonts w:ascii="Nunito Sans" w:cs="Nunito Sans" w:eastAsia="Nunito Sans" w:hAnsi="Nunito Sans"/>
        <w:color w:val="5B6F78"/>
        <w:sz w:val="14"/>
        <w:szCs w:val="14"/>
        <w:highlight w:val="yellow"/>
      </w:rPr>
      <w:t xml:space="preserve">[Nombre de la organización]</w:t>
    </w:r>
    <w:r>
      <w:rPr>
        <w:rFonts w:ascii="Nunito Sans" w:cs="Nunito Sans" w:eastAsia="Nunito Sans" w:hAnsi="Nunito Sans"/>
        <w:color w:val="5B6F78"/>
        <w:sz w:val="14"/>
        <w:szCs w:val="14"/>
      </w:rPr>
      <w:t xml:space="preserve">  |  Política y Procedimiento de Salvaguarda  |  Versión [1.0]  |  Plantilla de Method into Impact, edición 2026-10</w:t>
    </w:r>
    <w:r>
      <w:rPr>
        <w:rFonts w:ascii="Nunito Sans" w:cs="Nunito Sans" w:eastAsia="Nunito Sans" w:hAnsi="Nunito Sans"/>
        <w:color w:val="5B6F78"/>
        <w:sz w:val="14"/>
        <w:szCs w:val="14"/>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ED8" w:sz="4" w:space="6"/>
      </w:pBdr>
      <w:tabs>
        <w:tab w:val="right" w:pos="9524"/>
      </w:tabs>
      <w:spacing w:after="0"/>
    </w:pPr>
    <w:r>
      <w:drawing>
        <wp:inline distT="0" distB="0" distL="0" distR="0">
          <wp:extent cx="1333500" cy="204788"/>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33500" cy="204788"/>
                  </a:xfrm>
                  <a:prstGeom prst="rect">
                    <a:avLst/>
                  </a:prstGeom>
                </pic:spPr>
              </pic:pic>
            </a:graphicData>
          </a:graphic>
        </wp:inline>
      </w:drawing>
    </w:r>
    <w:r>
      <w:rPr>
        <w:rFonts w:ascii="Nunito Sans" w:cs="Nunito Sans" w:eastAsia="Nunito Sans" w:hAnsi="Nunito Sans"/>
        <w:b/>
        <w:bCs/>
        <w:color w:val="5B6F78"/>
        <w:spacing w:val="30"/>
        <w:sz w:val="14"/>
        <w:szCs w:val="14"/>
      </w:rPr>
      <w:t xml:space="preserve">	POLÍTICA Y PROCEDIMIENTO DE SALVAGUARDA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rPr>
        <w:color w:val="16746E"/>
      </w:rPr>
    </w:lvl>
    <w:lvl w:ilvl="1" w:tentative="1">
      <w:start w:val="1"/>
      <w:numFmt w:val="bullet"/>
      <w:lvlText w:val="–"/>
      <w:lvlJc w:val="left"/>
      <w:pPr>
        <w:ind w:left="720" w:hanging="260"/>
      </w:pPr>
      <w:rPr>
        <w:color w:val="16746E"/>
      </w:rPr>
    </w:lvl>
  </w:abstractNum>
  <w:abstractNum w:abstractNumId="3" w15:restartNumberingAfterBreak="0">
    <w:multiLevelType w:val="hybridMultilevel"/>
    <w:lvl w:ilvl="0" w:tentative="1">
      <w:start w:val="1"/>
      <w:numFmt w:val="decimal"/>
      <w:lvlText w:val="%1."/>
      <w:lvlJc w:val="left"/>
      <w:pPr>
        <w:ind w:left="400" w:hanging="340"/>
      </w:pPr>
      <w:rPr>
        <w:b/>
        <w:bCs/>
        <w:color w:val="16746E"/>
      </w:rPr>
    </w:lvl>
    <w:lvl w:ilvl="1" w:tentative="1">
      <w:start w:val="1"/>
      <w:numFmt w:val="lowerLetter"/>
      <w:lvlText w:val="(%2)"/>
      <w:lvlJc w:val="left"/>
      <w:pPr>
        <w:ind w:left="800" w:hanging="360"/>
      </w:pPr>
      <w:rPr>
        <w:color w:val="16746E"/>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Sans" w:cs="Nunito Sans" w:eastAsia="Nunito Sans" w:hAnsi="Nunito Sans"/>
        <w:color w:val="102E3B"/>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DM Serif Display" w:cs="DM Serif Display" w:eastAsia="DM Serif Display" w:hAnsi="DM Serif Display"/>
      <w:color w:val="123C48"/>
      <w:sz w:val="40"/>
      <w:szCs w:val="40"/>
    </w:rPr>
  </w:style>
  <w:style w:type="paragraph" w:styleId="Heading2">
    <w:name w:val="Heading 2"/>
    <w:basedOn w:val="Normal"/>
    <w:next w:val="Normal"/>
    <w:qFormat/>
    <w:pPr>
      <w:outlineLvl w:val="1"/>
    </w:pPr>
    <w:rPr>
      <w:rFonts w:ascii="DM Serif Display" w:cs="DM Serif Display" w:eastAsia="DM Serif Display" w:hAnsi="DM Serif Display"/>
      <w:color w:val="123C48"/>
      <w:sz w:val="28"/>
      <w:szCs w:val="28"/>
    </w:rPr>
  </w:style>
  <w:style w:type="paragraph" w:styleId="Heading3">
    <w:name w:val="Heading 3"/>
    <w:basedOn w:val="Normal"/>
    <w:next w:val="Normal"/>
    <w:qFormat/>
    <w:pPr>
      <w:outlineLvl w:val="2"/>
    </w:pPr>
    <w:rPr>
      <w:rFonts w:ascii="Nunito Sans" w:cs="Nunito Sans" w:eastAsia="Nunito Sans" w:hAnsi="Nunito Sans"/>
      <w:b/>
      <w:bCs/>
      <w:color w:val="16746E"/>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184047304b5248b738443469294e6487b5bff68d.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baf2bce2db023367740f277ae96b7322baa269d.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Política y Procedimiento de Salvaguarda</dc:title>
  <dc:creator>Method into Impact</dc:creator>
  <dc:description>Cómo [[Nombre de la organización]] protege del daño a niñas, niños y adolescentes, a las personas adultas en situación de riesgo y a todas las personas con las que trabajamos, incluida la explotación, el abuso y el acoso sexuales, y qué hacemos cuando alguien plantea una preocupación.</dc:description>
  <cp:lastModifiedBy>Un-named</cp:lastModifiedBy>
  <cp:revision>1</cp:revision>
  <dcterms:created xsi:type="dcterms:W3CDTF">2026-10-29T06:01:37.428Z</dcterms:created>
  <dcterms:modified xsi:type="dcterms:W3CDTF">2026-10-29T06:01:37.428Z</dcterms:modified>
</cp:coreProperties>
</file>

<file path=docProps/custom.xml><?xml version="1.0" encoding="utf-8"?>
<Properties xmlns="http://schemas.openxmlformats.org/officeDocument/2006/custom-properties" xmlns:vt="http://schemas.openxmlformats.org/officeDocument/2006/docPropsVTypes"/>
</file>