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ACUERDO · SOCIOS DE FINANCIACIÓN</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Acuerdo de Subvención a Socios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El acuerdo que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firma cuando transfiere fondos de una subvención a una organización socia para ejecutar un proyecto. Cubre el presupuesto, los pagos por tramos, los informes, las condiciones del donante principal, el cumplimiento normativo y el destino de los fondos no gastados.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Cuando transfieres dinero a una organización socia, sigues respondiendo ante tu financiador por el uso que se le da. Un acuerdo de subvención a socios traslada con exactitud las condiciones del financiador, fija reglas claras de pago y de presentación de informes, y ofrece a la organización socia condiciones justas y el apoyo que necesita. Los financiadores y las firmas auditoras pedirán ver uno por cada subvención a socios.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Tus financiadores institucionales y sus firmas auditoras; tus propias firmas auditoras; las organizaciones socias; tu órgano de gobierno cuando aprueba subvenciones a socios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3 a 5 horas para la primera subvención a socios con cargo a una nueva subvención principal, sobre todo para copiar las condiciones del donante en el Anexo 3; de 1 a 2 horas para cada organización socia adicional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9 (Gestión financiera); Curso 5 · Sustain &amp; Run, Módulo 12 (Alianzas)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Memorando de Entendimiento de Alianza · Política de Debida Diligencia de Socios y Control de Sanciones · Cuestionario de Debida Diligencia para Socios · Política de Controles Financieros · Política de Compras y Contrataciones · Política y Procedimiento de Salvaguarda · Política y Procedimiento contra el Fraude, el Soborno y la Corrupción · Acuerdo de Intercambio de Datos · Calendario de Conservación de Registros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ACUERDO</w:t>
            </w:r>
          </w:p>
          <w:p>
            <w:pPr>
              <w:spacing w:after="120" w:before="0" w:line="300"/>
            </w:pPr>
            <w:r>
              <w:rPr>
                <w:rFonts w:ascii="Nunito Sans" w:cs="Nunito Sans" w:eastAsia="Nunito Sans" w:hAnsi="Nunito Sans"/>
                <w:b/>
                <w:bCs/>
                <w:color w:val="102E3B"/>
                <w:sz w:val="19"/>
                <w:szCs w:val="19"/>
              </w:rPr>
              <w:t xml:space="preserve">Úsalo</w:t>
            </w:r>
            <w:r>
              <w:rPr>
                <w:rFonts w:ascii="Nunito Sans" w:cs="Nunito Sans" w:eastAsia="Nunito Sans" w:hAnsi="Nunito Sans"/>
                <w:color w:val="102E3B"/>
                <w:sz w:val="19"/>
                <w:szCs w:val="19"/>
              </w:rPr>
              <w:t xml:space="preserve"> cuando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entregue fondos a una organización socia para ejecutar un proyecto que esta lidera o codiseña, tanto si el dinero procede de un donante principal (un financiador institucional o una fundación) como de tus fondos propios.</w:t>
            </w:r>
          </w:p>
          <w:p>
            <w:pPr>
              <w:spacing w:after="120" w:before="0" w:line="300"/>
            </w:pPr>
            <w:r>
              <w:rPr>
                <w:rFonts w:ascii="Nunito Sans" w:cs="Nunito Sans" w:eastAsia="Nunito Sans" w:hAnsi="Nunito Sans"/>
                <w:b/>
                <w:bCs/>
                <w:color w:val="102E3B"/>
                <w:sz w:val="19"/>
                <w:szCs w:val="19"/>
              </w:rPr>
              <w:t xml:space="preserve">No lo uses</w:t>
            </w:r>
            <w:r>
              <w:rPr>
                <w:rFonts w:ascii="Nunito Sans" w:cs="Nunito Sans" w:eastAsia="Nunito Sans" w:hAnsi="Nunito Sans"/>
                <w:color w:val="102E3B"/>
                <w:sz w:val="19"/>
                <w:szCs w:val="19"/>
              </w:rPr>
              <w:t xml:space="preserve"> para comprar servicios o bienes a una organización socia (usa el Contrato de Servicios), ni para una colaboración sin fondos (usa el Memorando de Entendimiento de Alianza).</w:t>
            </w:r>
          </w:p>
          <w:p>
            <w:pPr>
              <w:spacing w:after="120" w:before="0" w:line="300"/>
            </w:pPr>
            <w:r>
              <w:rPr>
                <w:rFonts w:ascii="Nunito Sans" w:cs="Nunito Sans" w:eastAsia="Nunito Sans" w:hAnsi="Nunito Sans"/>
                <w:b/>
                <w:bCs/>
                <w:color w:val="102E3B"/>
                <w:sz w:val="19"/>
                <w:szCs w:val="19"/>
              </w:rPr>
              <w:t xml:space="preserve">Antes de firmar:</w:t>
            </w:r>
            <w:r>
              <w:rPr>
                <w:rFonts w:ascii="Nunito Sans" w:cs="Nunito Sans" w:eastAsia="Nunito Sans" w:hAnsi="Nunito Sans"/>
                <w:color w:val="102E3B"/>
                <w:sz w:val="19"/>
                <w:szCs w:val="19"/>
              </w:rPr>
              <w:t xml:space="preserve"> completa la debida diligencia sobre la organización socia, proporcional al importe y al riesgo, con el Cuestionario de Debida Diligencia para Socios. Acuerda el presupuesto y las fechas de los informes con la organización socia, no en su lugar.</w:t>
            </w:r>
          </w:p>
          <w:p>
            <w:pPr>
              <w:spacing w:after="120" w:before="0" w:line="300"/>
            </w:pPr>
            <w:r>
              <w:rPr>
                <w:rFonts w:ascii="Nunito Sans" w:cs="Nunito Sans" w:eastAsia="Nunito Sans" w:hAnsi="Nunito Sans"/>
                <w:b/>
                <w:bCs/>
                <w:color w:val="102E3B"/>
                <w:sz w:val="19"/>
                <w:szCs w:val="19"/>
              </w:rPr>
              <w:t xml:space="preserve">Las condiciones del donante suelen prevalecer.</w:t>
            </w:r>
            <w:r>
              <w:rPr>
                <w:rFonts w:ascii="Nunito Sans" w:cs="Nunito Sans" w:eastAsia="Nunito Sans" w:hAnsi="Nunito Sans"/>
                <w:color w:val="102E3B"/>
                <w:sz w:val="19"/>
                <w:szCs w:val="19"/>
              </w:rPr>
              <w:t xml:space="preserve"> La mayoría de los acuerdos de subvención principal te obligan a trasladar cláusulas concretas a las entidades subreceptoras, a veces de forma literal. Cópialas fielmente en el Anexo 3. No las resumas ni las suavices, y no añadas condiciones más estrictas que el donante no exige y que la organización socia no tiene presupuesto para cumplir.</w:t>
            </w:r>
          </w:p>
          <w:p>
            <w:pPr>
              <w:spacing w:after="120" w:before="0" w:line="300"/>
            </w:pPr>
            <w:r>
              <w:rPr>
                <w:rFonts w:ascii="Nunito Sans" w:cs="Nunito Sans" w:eastAsia="Nunito Sans" w:hAnsi="Nunito Sans"/>
                <w:b/>
                <w:bCs/>
                <w:color w:val="102E3B"/>
                <w:sz w:val="19"/>
                <w:szCs w:val="19"/>
              </w:rPr>
              <w:t xml:space="preserve">Ley local:</w:t>
            </w:r>
            <w:r>
              <w:rPr>
                <w:rFonts w:ascii="Nunito Sans" w:cs="Nunito Sans" w:eastAsia="Nunito Sans" w:hAnsi="Nunito Sans"/>
                <w:color w:val="102E3B"/>
                <w:sz w:val="19"/>
                <w:szCs w:val="19"/>
              </w:rPr>
              <w:t xml:space="preserve"> varios países regulan la financiación extranjera de las organizaciones sin ánimo de lucro. Por ejemplo, la Foreign Contribution (Regulation) Act 2010 de la India, modificada en 2020, exige registro o permiso previo para recibir contribuciones extranjeras y, desde 2020, prohíbe transferirlas a otras organizaciones. Revisa la ley del país de la organización socia antes de comprometerte.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 OTORGANTE</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 SOCIO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de la organización]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[forma jurídica]</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legal completo]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[forma jurídica]</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Registro: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número </w:t>
            </w:r>
            <w:r>
              <w:rPr>
                <w:rFonts w:ascii="Nunito Sans" w:cs="Nunito Sans" w:eastAsia="Nunito Sans" w:hAnsi="Nunito Sans"/>
                <w:color w:val="102E3B"/>
                <w:sz w:val="18"/>
                <w:szCs w:val="18"/>
                <w:highlight w:val="yellow"/>
              </w:rPr>
              <w:t xml:space="preserve">[número]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Registro: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número </w:t>
            </w:r>
            <w:r>
              <w:rPr>
                <w:rFonts w:ascii="Nunito Sans" w:cs="Nunito Sans" w:eastAsia="Nunito Sans" w:hAnsi="Nunito Sans"/>
                <w:color w:val="102E3B"/>
                <w:sz w:val="18"/>
                <w:szCs w:val="18"/>
                <w:highlight w:val="yellow"/>
              </w:rPr>
              <w:t xml:space="preserve">[número]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Domicilio: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[Domicilio social]</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Domicilio: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[Domicilio social]</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Responsable de la subvención: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 correo electrónico, teléfono]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Responsable del proyecto: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 correo electrónico, teléfono]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de finanzas: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correo electrónico]</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de finanzas: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correo electrónico]</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Firma en su 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Firma en su 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Antecedentes</w:t>
      </w:r>
    </w:p>
    <w:p>
      <w:pPr>
        <w:pStyle w:val="ListParagraph"/>
        <w:numPr>
          <w:ilvl w:val="0"/>
          <w:numId w:val="3"/>
        </w:numPr>
        <w:spacing w:after="80" w:line="290"/>
      </w:pPr>
      <w:r>
        <w:rPr>
          <w:rFonts w:ascii="Nunito Sans" w:cs="Nunito Sans" w:eastAsia="Nunito Sans" w:hAnsi="Nunito Sans"/>
          <w:color w:val="102E3B"/>
          <w:sz w:val="20"/>
          <w:szCs w:val="20"/>
        </w:rPr>
        <w:t xml:space="preserve">El Otorgante ha recibido financiación de </w:t>
      </w:r>
      <w:r>
        <w:rPr>
          <w:rFonts w:ascii="Nunito Sans" w:cs="Nunito Sans" w:eastAsia="Nunito Sans" w:hAnsi="Nunito Sans"/>
          <w:color w:val="102E3B"/>
          <w:sz w:val="20"/>
          <w:szCs w:val="20"/>
          <w:highlight w:val="yellow"/>
        </w:rPr>
        <w:t xml:space="preserve">[nombre del Donante Principal]</w:t>
      </w:r>
      <w:r>
        <w:rPr>
          <w:rFonts w:ascii="Nunito Sans" w:cs="Nunito Sans" w:eastAsia="Nunito Sans" w:hAnsi="Nunito Sans"/>
          <w:color w:val="102E3B"/>
          <w:sz w:val="20"/>
          <w:szCs w:val="20"/>
        </w:rPr>
        <w:t xml:space="preserve"> en virtud de </w:t>
      </w:r>
      <w:r>
        <w:rPr>
          <w:rFonts w:ascii="Nunito Sans" w:cs="Nunito Sans" w:eastAsia="Nunito Sans" w:hAnsi="Nunito Sans"/>
          <w:color w:val="102E3B"/>
          <w:sz w:val="20"/>
          <w:szCs w:val="20"/>
          <w:highlight w:val="yellow"/>
        </w:rPr>
        <w:t xml:space="preserve">[referencia y título del acuerdo de subvención]</w:t>
      </w:r>
      <w:r>
        <w:rPr>
          <w:rFonts w:ascii="Nunito Sans" w:cs="Nunito Sans" w:eastAsia="Nunito Sans" w:hAnsi="Nunito Sans"/>
          <w:color w:val="102E3B"/>
          <w:sz w:val="20"/>
          <w:szCs w:val="20"/>
        </w:rPr>
        <w:t xml:space="preserve">, de fecha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(la </w:t>
      </w:r>
      <w:r>
        <w:rPr>
          <w:rFonts w:ascii="Nunito Sans" w:cs="Nunito Sans" w:eastAsia="Nunito Sans" w:hAnsi="Nunito Sans"/>
          <w:b/>
          <w:bCs/>
          <w:color w:val="102E3B"/>
          <w:sz w:val="20"/>
          <w:szCs w:val="20"/>
        </w:rPr>
        <w:t xml:space="preserve">Subvención Principal</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 financia este proyecto con sus propios recursos]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El Socio </w:t>
      </w:r>
      <w:r>
        <w:rPr>
          <w:rFonts w:ascii="Nunito Sans" w:cs="Nunito Sans" w:eastAsia="Nunito Sans" w:hAnsi="Nunito Sans"/>
          <w:color w:val="102E3B"/>
          <w:sz w:val="20"/>
          <w:szCs w:val="20"/>
          <w:highlight w:val="yellow"/>
        </w:rPr>
        <w:t xml:space="preserve">[p. ej., es una organización comunitaria que trabaja con jóvenes en el distrito X]</w:t>
      </w:r>
      <w:r>
        <w:rPr>
          <w:rFonts w:ascii="Nunito Sans" w:cs="Nunito Sans" w:eastAsia="Nunito Sans" w:hAnsi="Nunito Sans"/>
          <w:color w:val="102E3B"/>
          <w:sz w:val="20"/>
          <w:szCs w:val="20"/>
        </w:rPr>
        <w:t xml:space="preserve"> y ha diseñado, junto con el Otorgante, el proyecto descrito en el Anexo 1.</w:t>
      </w:r>
    </w:p>
    <w:p>
      <w:pPr>
        <w:pStyle w:val="ListParagraph"/>
        <w:numPr>
          <w:ilvl w:val="0"/>
          <w:numId w:val="3"/>
        </w:numPr>
        <w:spacing w:after="80" w:line="290"/>
      </w:pPr>
      <w:r>
        <w:rPr>
          <w:rFonts w:ascii="Nunito Sans" w:cs="Nunito Sans" w:eastAsia="Nunito Sans" w:hAnsi="Nunito Sans"/>
          <w:color w:val="102E3B"/>
          <w:sz w:val="20"/>
          <w:szCs w:val="20"/>
        </w:rPr>
        <w:t xml:space="preserve">El Otorgante desea financiar al Socio para que ejecute dicho proyecto en las condiciones que siguen.</w:t>
      </w:r>
    </w:p>
    <w:p>
      <w:pPr>
        <w:pStyle w:val="Heading1"/>
        <w:keepNext/>
        <w:spacing w:after="160" w:before="360"/>
      </w:pPr>
      <w:r>
        <w:rPr>
          <w:rFonts w:ascii="DM Serif Display" w:cs="DM Serif Display" w:eastAsia="DM Serif Display" w:hAnsi="DM Serif Display"/>
          <w:color w:val="123C48"/>
          <w:sz w:val="40"/>
          <w:szCs w:val="40"/>
        </w:rPr>
        <w:t xml:space="preserve">Condiciones acordadas</w:t>
      </w:r>
    </w:p>
    <w:p>
      <w:pPr>
        <w:pStyle w:val="Heading2"/>
        <w:keepNext/>
        <w:spacing w:after="120" w:before="280"/>
      </w:pPr>
      <w:r>
        <w:rPr>
          <w:rFonts w:ascii="DM Serif Display" w:cs="DM Serif Display" w:eastAsia="DM Serif Display" w:hAnsi="DM Serif Display"/>
          <w:color w:val="123C48"/>
          <w:sz w:val="28"/>
          <w:szCs w:val="28"/>
        </w:rPr>
        <w:t xml:space="preserve">1. Definiciones</w:t>
      </w:r>
    </w:p>
    <w:p>
      <w:pPr>
        <w:pStyle w:val="ListParagraph"/>
        <w:numPr>
          <w:ilvl w:val="0"/>
          <w:numId w:val="4"/>
        </w:numPr>
        <w:spacing w:after="80" w:line="290"/>
      </w:pPr>
      <w:r>
        <w:rPr>
          <w:rFonts w:ascii="Nunito Sans" w:cs="Nunito Sans" w:eastAsia="Nunito Sans" w:hAnsi="Nunito Sans"/>
          <w:color w:val="102E3B"/>
          <w:sz w:val="20"/>
          <w:szCs w:val="20"/>
        </w:rPr>
        <w:t xml:space="preserve">En este acuerdo:</w:t>
      </w:r>
    </w:p>
    <w:p>
      <w:pPr>
        <w:pStyle w:val="ListParagraph"/>
        <w:numPr>
          <w:ilvl w:val="1"/>
          <w:numId w:val="4"/>
        </w:numPr>
        <w:spacing w:after="80" w:line="290"/>
      </w:pPr>
      <w:r>
        <w:rPr>
          <w:rFonts w:ascii="Nunito Sans" w:cs="Nunito Sans" w:eastAsia="Nunito Sans" w:hAnsi="Nunito Sans"/>
          <w:b/>
          <w:bCs/>
          <w:color w:val="102E3B"/>
          <w:sz w:val="20"/>
          <w:szCs w:val="20"/>
        </w:rPr>
        <w:t xml:space="preserve">Presupuesto Aprobado</w:t>
      </w:r>
      <w:r>
        <w:rPr>
          <w:rFonts w:ascii="Nunito Sans" w:cs="Nunito Sans" w:eastAsia="Nunito Sans" w:hAnsi="Nunito Sans"/>
          <w:color w:val="102E3B"/>
          <w:sz w:val="20"/>
          <w:szCs w:val="20"/>
        </w:rPr>
        <w:t xml:space="preserve"> significa el presupuesto del Anexo 1, con los cambios realizados conforme a la cláusula 8.</w:t>
      </w:r>
    </w:p>
    <w:p>
      <w:pPr>
        <w:pStyle w:val="ListParagraph"/>
        <w:numPr>
          <w:ilvl w:val="1"/>
          <w:numId w:val="4"/>
        </w:numPr>
        <w:spacing w:after="80" w:line="290"/>
      </w:pPr>
      <w:r>
        <w:rPr>
          <w:rFonts w:ascii="Nunito Sans" w:cs="Nunito Sans" w:eastAsia="Nunito Sans" w:hAnsi="Nunito Sans"/>
          <w:b/>
          <w:bCs/>
          <w:color w:val="102E3B"/>
          <w:sz w:val="20"/>
          <w:szCs w:val="20"/>
        </w:rPr>
        <w:t xml:space="preserve">Día Hábil</w:t>
      </w:r>
      <w:r>
        <w:rPr>
          <w:rFonts w:ascii="Nunito Sans" w:cs="Nunito Sans" w:eastAsia="Nunito Sans" w:hAnsi="Nunito Sans"/>
          <w:color w:val="102E3B"/>
          <w:sz w:val="20"/>
          <w:szCs w:val="20"/>
        </w:rPr>
        <w:t xml:space="preserve"> significa un día que no sea fin de semana ni festivo en </w:t>
      </w:r>
      <w:r>
        <w:rPr>
          <w:rFonts w:ascii="Nunito Sans" w:cs="Nunito Sans" w:eastAsia="Nunito Sans" w:hAnsi="Nunito Sans"/>
          <w:color w:val="102E3B"/>
          <w:sz w:val="20"/>
          <w:szCs w:val="20"/>
          <w:highlight w:val="yellow"/>
        </w:rPr>
        <w:t xml:space="preserve">[el país del Socio]</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Costos Elegibles</w:t>
      </w:r>
      <w:r>
        <w:rPr>
          <w:rFonts w:ascii="Nunito Sans" w:cs="Nunito Sans" w:eastAsia="Nunito Sans" w:hAnsi="Nunito Sans"/>
          <w:color w:val="102E3B"/>
          <w:sz w:val="20"/>
          <w:szCs w:val="20"/>
        </w:rPr>
        <w:t xml:space="preserve"> significa los costos que cumplen la cláusula 5.</w:t>
      </w:r>
    </w:p>
    <w:p>
      <w:pPr>
        <w:pStyle w:val="ListParagraph"/>
        <w:numPr>
          <w:ilvl w:val="1"/>
          <w:numId w:val="4"/>
        </w:numPr>
        <w:spacing w:after="80" w:line="290"/>
      </w:pPr>
      <w:r>
        <w:rPr>
          <w:rFonts w:ascii="Nunito Sans" w:cs="Nunito Sans" w:eastAsia="Nunito Sans" w:hAnsi="Nunito Sans"/>
          <w:b/>
          <w:bCs/>
          <w:color w:val="102E3B"/>
          <w:sz w:val="20"/>
          <w:szCs w:val="20"/>
        </w:rPr>
        <w:t xml:space="preserve">Subvención</w:t>
      </w:r>
      <w:r>
        <w:rPr>
          <w:rFonts w:ascii="Nunito Sans" w:cs="Nunito Sans" w:eastAsia="Nunito Sans" w:hAnsi="Nunito Sans"/>
          <w:color w:val="102E3B"/>
          <w:sz w:val="20"/>
          <w:szCs w:val="20"/>
        </w:rPr>
        <w:t xml:space="preserve"> significa los fondos que el Otorgante aporta en virtud de este acuerdo, hasta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Donante Principal</w:t>
      </w:r>
      <w:r>
        <w:rPr>
          <w:rFonts w:ascii="Nunito Sans" w:cs="Nunito Sans" w:eastAsia="Nunito Sans" w:hAnsi="Nunito Sans"/>
          <w:color w:val="102E3B"/>
          <w:sz w:val="20"/>
          <w:szCs w:val="20"/>
        </w:rPr>
        <w:t xml:space="preserve"> significa </w:t>
      </w:r>
      <w:r>
        <w:rPr>
          <w:rFonts w:ascii="Nunito Sans" w:cs="Nunito Sans" w:eastAsia="Nunito Sans" w:hAnsi="Nunito Sans"/>
          <w:color w:val="102E3B"/>
          <w:sz w:val="20"/>
          <w:szCs w:val="20"/>
          <w:highlight w:val="yellow"/>
        </w:rPr>
        <w:t xml:space="preserve">[nombre del Donante Principal]</w:t>
      </w:r>
      <w:r>
        <w:rPr>
          <w:rFonts w:ascii="Nunito Sans" w:cs="Nunito Sans" w:eastAsia="Nunito Sans" w:hAnsi="Nunito Sans"/>
          <w:color w:val="102E3B"/>
          <w:sz w:val="20"/>
          <w:szCs w:val="20"/>
        </w:rPr>
        <w:t xml:space="preserve">, y </w:t>
      </w:r>
      <w:r>
        <w:rPr>
          <w:rFonts w:ascii="Nunito Sans" w:cs="Nunito Sans" w:eastAsia="Nunito Sans" w:hAnsi="Nunito Sans"/>
          <w:b/>
          <w:bCs/>
          <w:color w:val="102E3B"/>
          <w:sz w:val="20"/>
          <w:szCs w:val="20"/>
        </w:rPr>
        <w:t xml:space="preserve">Subvención Principal</w:t>
      </w:r>
      <w:r>
        <w:rPr>
          <w:rFonts w:ascii="Nunito Sans" w:cs="Nunito Sans" w:eastAsia="Nunito Sans" w:hAnsi="Nunito Sans"/>
          <w:color w:val="102E3B"/>
          <w:sz w:val="20"/>
          <w:szCs w:val="20"/>
        </w:rPr>
        <w:t xml:space="preserve"> tiene el significado indicado en los Antecedentes.</w:t>
      </w:r>
    </w:p>
    <w:p>
      <w:pPr>
        <w:pStyle w:val="ListParagraph"/>
        <w:numPr>
          <w:ilvl w:val="1"/>
          <w:numId w:val="4"/>
        </w:numPr>
        <w:spacing w:after="80" w:line="290"/>
      </w:pPr>
      <w:r>
        <w:rPr>
          <w:rFonts w:ascii="Nunito Sans" w:cs="Nunito Sans" w:eastAsia="Nunito Sans" w:hAnsi="Nunito Sans"/>
          <w:b/>
          <w:bCs/>
          <w:color w:val="102E3B"/>
          <w:sz w:val="20"/>
          <w:szCs w:val="20"/>
        </w:rPr>
        <w:t xml:space="preserve">Proyecto</w:t>
      </w:r>
      <w:r>
        <w:rPr>
          <w:rFonts w:ascii="Nunito Sans" w:cs="Nunito Sans" w:eastAsia="Nunito Sans" w:hAnsi="Nunito Sans"/>
          <w:color w:val="102E3B"/>
          <w:sz w:val="20"/>
          <w:szCs w:val="20"/>
        </w:rPr>
        <w:t xml:space="preserve"> significa las actividades y los resultados descritos en el Anexo 1.</w:t>
      </w:r>
    </w:p>
    <w:p>
      <w:pPr>
        <w:pStyle w:val="ListParagraph"/>
        <w:numPr>
          <w:ilvl w:val="1"/>
          <w:numId w:val="4"/>
        </w:numPr>
        <w:spacing w:after="80" w:line="290"/>
      </w:pPr>
      <w:r>
        <w:rPr>
          <w:rFonts w:ascii="Nunito Sans" w:cs="Nunito Sans" w:eastAsia="Nunito Sans" w:hAnsi="Nunito Sans"/>
          <w:b/>
          <w:bCs/>
          <w:color w:val="102E3B"/>
          <w:sz w:val="20"/>
          <w:szCs w:val="20"/>
        </w:rPr>
        <w:t xml:space="preserve">Periodo del Proyecto</w:t>
      </w:r>
      <w:r>
        <w:rPr>
          <w:rFonts w:ascii="Nunito Sans" w:cs="Nunito Sans" w:eastAsia="Nunito Sans" w:hAnsi="Nunito Sans"/>
          <w:color w:val="102E3B"/>
          <w:sz w:val="20"/>
          <w:szCs w:val="20"/>
        </w:rPr>
        <w:t xml:space="preserve"> significa del </w:t>
      </w:r>
      <w:r>
        <w:rPr>
          <w:rFonts w:ascii="Nunito Sans" w:cs="Nunito Sans" w:eastAsia="Nunito Sans" w:hAnsi="Nunito Sans"/>
          <w:color w:val="102E3B"/>
          <w:sz w:val="20"/>
          <w:szCs w:val="20"/>
          <w:highlight w:val="yellow"/>
        </w:rPr>
        <w:t xml:space="preserve">[fecha de inicio]</w:t>
      </w:r>
      <w:r>
        <w:rPr>
          <w:rFonts w:ascii="Nunito Sans" w:cs="Nunito Sans" w:eastAsia="Nunito Sans" w:hAnsi="Nunito Sans"/>
          <w:color w:val="102E3B"/>
          <w:sz w:val="20"/>
          <w:szCs w:val="20"/>
        </w:rPr>
        <w:t xml:space="preserve"> al </w:t>
      </w:r>
      <w:r>
        <w:rPr>
          <w:rFonts w:ascii="Nunito Sans" w:cs="Nunito Sans" w:eastAsia="Nunito Sans" w:hAnsi="Nunito Sans"/>
          <w:color w:val="102E3B"/>
          <w:sz w:val="20"/>
          <w:szCs w:val="20"/>
          <w:highlight w:val="yellow"/>
        </w:rPr>
        <w:t xml:space="preserve">[fecha de finalización]</w:t>
      </w:r>
      <w:r>
        <w:rPr>
          <w:rFonts w:ascii="Nunito Sans" w:cs="Nunito Sans" w:eastAsia="Nunito Sans" w:hAnsi="Nunito Sans"/>
          <w:color w:val="102E3B"/>
          <w:sz w:val="20"/>
          <w:szCs w:val="20"/>
        </w:rPr>
        <w:t xml:space="preserve">, con las prórrogas acordadas conforme a la cláusula 8.</w:t>
      </w:r>
    </w:p>
    <w:p>
      <w:pPr>
        <w:pStyle w:val="ListParagraph"/>
        <w:numPr>
          <w:ilvl w:val="0"/>
          <w:numId w:val="4"/>
        </w:numPr>
        <w:spacing w:after="80" w:line="290"/>
      </w:pPr>
      <w:r>
        <w:rPr>
          <w:rFonts w:ascii="Nunito Sans" w:cs="Nunito Sans" w:eastAsia="Nunito Sans" w:hAnsi="Nunito Sans"/>
          <w:color w:val="102E3B"/>
          <w:sz w:val="20"/>
          <w:szCs w:val="20"/>
        </w:rPr>
        <w:t xml:space="preserve">"Cláusula 5.2" significa el apartado 2 de la cláusula 5. Los anexos forman parte de este acuerdo. "Por escrito" incluye el correo electrónico enviado por los contactos designados.</w:t>
      </w:r>
    </w:p>
    <w:p>
      <w:pPr>
        <w:pStyle w:val="Heading2"/>
        <w:keepNext/>
        <w:spacing w:after="120" w:before="280"/>
      </w:pPr>
      <w:r>
        <w:rPr>
          <w:rFonts w:ascii="DM Serif Display" w:cs="DM Serif Display" w:eastAsia="DM Serif Display" w:hAnsi="DM Serif Display"/>
          <w:color w:val="123C48"/>
          <w:sz w:val="28"/>
          <w:szCs w:val="28"/>
        </w:rPr>
        <w:t xml:space="preserve">2. La Subvención y el Proyecto</w:t>
      </w:r>
    </w:p>
    <w:p>
      <w:pPr>
        <w:pStyle w:val="ListParagraph"/>
        <w:numPr>
          <w:ilvl w:val="0"/>
          <w:numId w:val="5"/>
        </w:numPr>
        <w:spacing w:after="80" w:line="290"/>
      </w:pPr>
      <w:r>
        <w:rPr>
          <w:rFonts w:ascii="Nunito Sans" w:cs="Nunito Sans" w:eastAsia="Nunito Sans" w:hAnsi="Nunito Sans"/>
          <w:color w:val="102E3B"/>
          <w:sz w:val="20"/>
          <w:szCs w:val="20"/>
        </w:rPr>
        <w:t xml:space="preserve">El Otorgante entregará la Subvención al Socio para que ejecute el Proyecto durante el Periodo del Proyecto, según se describe en el Anexo 1.</w:t>
      </w:r>
    </w:p>
    <w:p>
      <w:pPr>
        <w:pStyle w:val="ListParagraph"/>
        <w:numPr>
          <w:ilvl w:val="0"/>
          <w:numId w:val="5"/>
        </w:numPr>
        <w:spacing w:after="80" w:line="290"/>
      </w:pPr>
      <w:r>
        <w:rPr>
          <w:rFonts w:ascii="Nunito Sans" w:cs="Nunito Sans" w:eastAsia="Nunito Sans" w:hAnsi="Nunito Sans"/>
          <w:color w:val="102E3B"/>
          <w:sz w:val="20"/>
          <w:szCs w:val="20"/>
        </w:rPr>
        <w:t xml:space="preserve">El Socio usará la Subvención únicamente para el Proyecto y de conformidad con el Presupuesto Aprobado y con este acuerdo.</w:t>
      </w:r>
    </w:p>
    <w:p>
      <w:pPr>
        <w:pStyle w:val="ListParagraph"/>
        <w:numPr>
          <w:ilvl w:val="0"/>
          <w:numId w:val="5"/>
        </w:numPr>
        <w:spacing w:after="80" w:line="290"/>
      </w:pPr>
      <w:r>
        <w:rPr>
          <w:rFonts w:ascii="Nunito Sans" w:cs="Nunito Sans" w:eastAsia="Nunito Sans" w:hAnsi="Nunito Sans"/>
          <w:color w:val="102E3B"/>
          <w:sz w:val="20"/>
          <w:szCs w:val="20"/>
        </w:rPr>
        <w:t xml:space="preserve">La Subvención es una contribución al Proyecto, no el pago de servicios. El Socio conserva la responsabilidad sobre la forma de ejecutar el Proyecto y no actúa como agente del Otorgante.</w:t>
      </w:r>
    </w:p>
    <w:p>
      <w:pPr>
        <w:pStyle w:val="ListParagraph"/>
        <w:numPr>
          <w:ilvl w:val="0"/>
          <w:numId w:val="5"/>
        </w:numPr>
        <w:spacing w:after="80" w:line="290"/>
      </w:pPr>
      <w:r>
        <w:rPr>
          <w:rFonts w:ascii="Nunito Sans" w:cs="Nunito Sans" w:eastAsia="Nunito Sans" w:hAnsi="Nunito Sans"/>
          <w:color w:val="102E3B"/>
          <w:sz w:val="20"/>
          <w:szCs w:val="20"/>
        </w:rPr>
        <w:t xml:space="preserve">El Socio informará al Otorgante de cualquier otra financiación que reciba para las mismas actividades, de modo que ningún costo se financie dos veces.</w:t>
      </w:r>
    </w:p>
    <w:p>
      <w:pPr>
        <w:pStyle w:val="Heading2"/>
        <w:keepNext/>
        <w:spacing w:after="120" w:before="280"/>
      </w:pPr>
      <w:r>
        <w:rPr>
          <w:rFonts w:ascii="DM Serif Display" w:cs="DM Serif Display" w:eastAsia="DM Serif Display" w:hAnsi="DM Serif Display"/>
          <w:color w:val="123C48"/>
          <w:sz w:val="28"/>
          <w:szCs w:val="28"/>
        </w:rPr>
        <w:t xml:space="preserve">3. Condiciones del Donante Principal</w:t>
      </w:r>
    </w:p>
    <w:p>
      <w:pPr>
        <w:pStyle w:val="ListParagraph"/>
        <w:numPr>
          <w:ilvl w:val="0"/>
          <w:numId w:val="6"/>
        </w:numPr>
        <w:spacing w:after="80" w:line="290"/>
      </w:pPr>
      <w:r>
        <w:rPr>
          <w:rFonts w:ascii="Nunito Sans" w:cs="Nunito Sans" w:eastAsia="Nunito Sans" w:hAnsi="Nunito Sans"/>
          <w:color w:val="102E3B"/>
          <w:sz w:val="20"/>
          <w:szCs w:val="20"/>
        </w:rPr>
        <w:t xml:space="preserve">El Anexo 3 establece las condiciones de la Subvención Principal que se aplican al Socio. El Socio las cumplirá como si estuvieran incluidas en este acuerdo.</w:t>
      </w:r>
    </w:p>
    <w:p>
      <w:pPr>
        <w:pStyle w:val="ListParagraph"/>
        <w:numPr>
          <w:ilvl w:val="0"/>
          <w:numId w:val="6"/>
        </w:numPr>
        <w:spacing w:after="80" w:line="290"/>
      </w:pPr>
      <w:r>
        <w:rPr>
          <w:rFonts w:ascii="Nunito Sans" w:cs="Nunito Sans" w:eastAsia="Nunito Sans" w:hAnsi="Nunito Sans"/>
          <w:color w:val="102E3B"/>
          <w:sz w:val="20"/>
          <w:szCs w:val="20"/>
        </w:rPr>
        <w:t xml:space="preserve">Si el Anexo 3 contradice el resto de este acuerdo, prevalece </w:t>
      </w:r>
      <w:r>
        <w:rPr>
          <w:rFonts w:ascii="Nunito Sans" w:cs="Nunito Sans" w:eastAsia="Nunito Sans" w:hAnsi="Nunito Sans"/>
          <w:color w:val="102E3B"/>
          <w:sz w:val="20"/>
          <w:szCs w:val="20"/>
          <w:highlight w:val="yellow"/>
        </w:rPr>
        <w:t xml:space="preserve">[la disposición más estricta / el Anexo 3]</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El Otorgante entregará al Socio las partes pertinentes de la Subvención Principal, cualquier guía del donante a la que estas remitan y cualquier modificación de ellas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desde su recepción.</w:t>
      </w:r>
    </w:p>
    <w:p>
      <w:pPr>
        <w:pStyle w:val="ListParagraph"/>
        <w:numPr>
          <w:ilvl w:val="0"/>
          <w:numId w:val="6"/>
        </w:numPr>
        <w:spacing w:after="80" w:line="290"/>
      </w:pPr>
      <w:r>
        <w:rPr>
          <w:rFonts w:ascii="Nunito Sans" w:cs="Nunito Sans" w:eastAsia="Nunito Sans" w:hAnsi="Nunito Sans"/>
          <w:color w:val="102E3B"/>
          <w:sz w:val="20"/>
          <w:szCs w:val="20"/>
        </w:rPr>
        <w:t xml:space="preserve">Si el Donante Principal suspende, reduce o da por terminada la Subvención Principal, el Otorgante podrá suspender, reducir o dar por terminada la Subvención en la misma medida mediante notificación por escrito. El Otorgante explicará el motivo, compartirá la notificación del Donante Principal cuando esté autorizado a hacerlo y pagará los Costos Elegibles que el Socio haya comprometido debidamente, en la medida en que el Donante Principal lo permita.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COPIAR LAS CONDICIONES DEL DONANTE</w:t>
            </w:r>
          </w:p>
          <w:p>
            <w:pPr>
              <w:spacing w:after="120" w:before="0" w:line="300"/>
            </w:pPr>
            <w:r>
              <w:rPr>
                <w:rFonts w:ascii="Nunito Sans" w:cs="Nunito Sans" w:eastAsia="Nunito Sans" w:hAnsi="Nunito Sans"/>
                <w:color w:val="102E3B"/>
                <w:sz w:val="19"/>
                <w:szCs w:val="19"/>
              </w:rPr>
              <w:t xml:space="preserve">Lee la Subvención Principal línea por línea y enumera cada cláusula que indique que debe trasladarse a las entidades subreceptoras o a los socios (cláusulas de traslado obligatorio o "flow-down"). Las habituales cubren los costos elegibles, las reglas de compras, los derechos de auditoría y de acceso, la conservación de registros, la lucha contra el terrorismo y las sanciones, la salvaguarda, la visibilidad, las compras prohibidas y la notificación de irregularidades. Cópialas fielmente, con la numeración del donante, en el Anexo 3. Cuando el donante use sus propios términos (por ejemplo, "receptor" o "socio implementador"), añade una línea que explique que se refieren al Socio.</w:t>
            </w:r>
          </w:p>
          <w:p>
            <w:pPr>
              <w:spacing w:after="120" w:before="0" w:line="300"/>
            </w:pPr>
            <w:r>
              <w:rPr>
                <w:rFonts w:ascii="Nunito Sans" w:cs="Nunito Sans" w:eastAsia="Nunito Sans" w:hAnsi="Nunito Sans"/>
                <w:color w:val="102E3B"/>
                <w:sz w:val="19"/>
                <w:szCs w:val="19"/>
              </w:rPr>
              <w:t xml:space="preserve">Traduce el Anexo 3 a la lengua de trabajo del Socio si es necesario, y revísalo con él al inicio. Si la Subvención Principal está en inglés y se facilita una traducción, indica qué versión prevalece. Si financias el Proyecto con tus propios recursos, elimina la cláusula 3 y el Anexo 3.</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Pagos</w:t>
      </w:r>
    </w:p>
    <w:p>
      <w:pPr>
        <w:pStyle w:val="ListParagraph"/>
        <w:numPr>
          <w:ilvl w:val="0"/>
          <w:numId w:val="7"/>
        </w:numPr>
        <w:spacing w:after="80" w:line="290"/>
      </w:pPr>
      <w:r>
        <w:rPr>
          <w:rFonts w:ascii="Nunito Sans" w:cs="Nunito Sans" w:eastAsia="Nunito Sans" w:hAnsi="Nunito Sans"/>
          <w:color w:val="102E3B"/>
          <w:sz w:val="20"/>
          <w:szCs w:val="20"/>
        </w:rPr>
        <w:t xml:space="preserve">El Otorgante pagará la Subvención por tramos, según se establece en el Anexo 2, en una cuenta bancaria a nombre legal del Socio.</w:t>
      </w:r>
    </w:p>
    <w:p>
      <w:pPr>
        <w:pStyle w:val="ListParagraph"/>
        <w:numPr>
          <w:ilvl w:val="0"/>
          <w:numId w:val="7"/>
        </w:numPr>
        <w:spacing w:after="80" w:line="290"/>
      </w:pPr>
      <w:r>
        <w:rPr>
          <w:rFonts w:ascii="Nunito Sans" w:cs="Nunito Sans" w:eastAsia="Nunito Sans" w:hAnsi="Nunito Sans"/>
          <w:color w:val="102E3B"/>
          <w:sz w:val="20"/>
          <w:szCs w:val="20"/>
        </w:rPr>
        <w:t xml:space="preserve">El primer tramo se paga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a partir de la última de estas dos fechas: la firma de este acuerdo o la recepción por el Otorgante de los datos bancarios del Socio en papel con membrete.</w:t>
      </w:r>
    </w:p>
    <w:p>
      <w:pPr>
        <w:pStyle w:val="ListParagraph"/>
        <w:numPr>
          <w:ilvl w:val="0"/>
          <w:numId w:val="7"/>
        </w:numPr>
        <w:spacing w:after="80" w:line="290"/>
      </w:pPr>
      <w:r>
        <w:rPr>
          <w:rFonts w:ascii="Nunito Sans" w:cs="Nunito Sans" w:eastAsia="Nunito Sans" w:hAnsi="Nunito Sans"/>
          <w:color w:val="102E3B"/>
          <w:sz w:val="20"/>
          <w:szCs w:val="20"/>
        </w:rPr>
        <w:t xml:space="preserve">Cada tramo posterior se paga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después de que el Otorgante apruebe los informes que deben presentarse antes de él, y una vez que el Socio haya gastado o comprometido al menos el </w:t>
      </w:r>
      <w:r>
        <w:rPr>
          <w:rFonts w:ascii="Nunito Sans" w:cs="Nunito Sans" w:eastAsia="Nunito Sans" w:hAnsi="Nunito Sans"/>
          <w:color w:val="102E3B"/>
          <w:sz w:val="20"/>
          <w:szCs w:val="20"/>
          <w:highlight w:val="yellow"/>
        </w:rPr>
        <w:t xml:space="preserve">[70]</w:t>
      </w:r>
      <w:r>
        <w:rPr>
          <w:rFonts w:ascii="Nunito Sans" w:cs="Nunito Sans" w:eastAsia="Nunito Sans" w:hAnsi="Nunito Sans"/>
          <w:color w:val="102E3B"/>
          <w:sz w:val="20"/>
          <w:szCs w:val="20"/>
        </w:rPr>
        <w:t xml:space="preserve"> % de los fondos ya recibidos.</w:t>
      </w:r>
    </w:p>
    <w:p>
      <w:pPr>
        <w:pStyle w:val="ListParagraph"/>
        <w:numPr>
          <w:ilvl w:val="0"/>
          <w:numId w:val="7"/>
        </w:numPr>
        <w:spacing w:after="80" w:line="290"/>
      </w:pPr>
      <w:r>
        <w:rPr>
          <w:rFonts w:ascii="Nunito Sans" w:cs="Nunito Sans" w:eastAsia="Nunito Sans" w:hAnsi="Nunito Sans"/>
          <w:color w:val="102E3B"/>
          <w:sz w:val="20"/>
          <w:szCs w:val="20"/>
        </w:rPr>
        <w:t xml:space="preserve">El Otorgante revisará cada informe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y lo aprobará o explicará por escrito qué se necesita. El Otorgante no retrasará un tramo por cuestiones menores que puedan corregirse en el informe siguiente.</w:t>
      </w:r>
    </w:p>
    <w:p>
      <w:pPr>
        <w:pStyle w:val="ListParagraph"/>
        <w:numPr>
          <w:ilvl w:val="0"/>
          <w:numId w:val="7"/>
        </w:numPr>
        <w:spacing w:after="80" w:line="290"/>
      </w:pPr>
      <w:r>
        <w:rPr>
          <w:rFonts w:ascii="Nunito Sans" w:cs="Nunito Sans" w:eastAsia="Nunito Sans" w:hAnsi="Nunito Sans"/>
          <w:color w:val="102E3B"/>
          <w:sz w:val="20"/>
          <w:szCs w:val="20"/>
        </w:rPr>
        <w:t xml:space="preserve">La Subvención se paga en </w:t>
      </w:r>
      <w:r>
        <w:rPr>
          <w:rFonts w:ascii="Nunito Sans" w:cs="Nunito Sans" w:eastAsia="Nunito Sans" w:hAnsi="Nunito Sans"/>
          <w:color w:val="102E3B"/>
          <w:sz w:val="20"/>
          <w:szCs w:val="20"/>
          <w:highlight w:val="yellow"/>
        </w:rPr>
        <w:t xml:space="preserve">[moneda]</w:t>
      </w:r>
      <w:r>
        <w:rPr>
          <w:rFonts w:ascii="Nunito Sans" w:cs="Nunito Sans" w:eastAsia="Nunito Sans" w:hAnsi="Nunito Sans"/>
          <w:color w:val="102E3B"/>
          <w:sz w:val="20"/>
          <w:szCs w:val="20"/>
        </w:rPr>
        <w:t xml:space="preserve">. El Socio registra el tipo de cambio que efectivamente obtiene en cada transferencia y lo usa en sus informes financieros. </w:t>
      </w:r>
      <w:r>
        <w:rPr>
          <w:rFonts w:ascii="Nunito Sans" w:cs="Nunito Sans" w:eastAsia="Nunito Sans" w:hAnsi="Nunito Sans"/>
          <w:color w:val="102E3B"/>
          <w:sz w:val="20"/>
          <w:szCs w:val="20"/>
          <w:highlight w:val="yellow"/>
        </w:rPr>
        <w:t xml:space="preserve">[Las ganancias por tipo de cambio se usan para el Proyecto con la aprobación del Otorgante; las pérdidas se reparten según se acuerde por escrito.]</w:t>
      </w:r>
    </w:p>
    <w:p>
      <w:pPr>
        <w:pStyle w:val="ListParagraph"/>
        <w:numPr>
          <w:ilvl w:val="0"/>
          <w:numId w:val="7"/>
        </w:numPr>
        <w:spacing w:after="80" w:line="290"/>
      </w:pPr>
      <w:r>
        <w:rPr>
          <w:rFonts w:ascii="Nunito Sans" w:cs="Nunito Sans" w:eastAsia="Nunito Sans" w:hAnsi="Nunito Sans"/>
          <w:color w:val="102E3B"/>
          <w:sz w:val="20"/>
          <w:szCs w:val="20"/>
        </w:rPr>
        <w:t xml:space="preserve">Los intereses generados por la Subvención se usan para el Proyecto o se devuelven al Otorgante, según exija el Donante Principal.</w:t>
      </w:r>
    </w:p>
    <w:p>
      <w:pPr>
        <w:pStyle w:val="ListParagraph"/>
        <w:numPr>
          <w:ilvl w:val="0"/>
          <w:numId w:val="7"/>
        </w:numPr>
        <w:spacing w:after="80" w:line="290"/>
      </w:pPr>
      <w:r>
        <w:rPr>
          <w:rFonts w:ascii="Nunito Sans" w:cs="Nunito Sans" w:eastAsia="Nunito Sans" w:hAnsi="Nunito Sans"/>
          <w:color w:val="102E3B"/>
          <w:sz w:val="20"/>
          <w:szCs w:val="20"/>
        </w:rPr>
        <w:t xml:space="preserve">Antes de realizar un pago, el Otorgante confirmará por teléfono con el contacto de finanzas del Socio, en el número que figura en este acuerdo, cualquier solicitud de cambio de datos bancarios.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PAGOS QUE NO DEJEN SIN RECURSOS AL PROYECTO</w:t>
            </w:r>
          </w:p>
          <w:p>
            <w:pPr>
              <w:spacing w:after="120" w:before="0" w:line="300"/>
            </w:pPr>
            <w:r>
              <w:rPr>
                <w:rFonts w:ascii="Nunito Sans" w:cs="Nunito Sans" w:eastAsia="Nunito Sans" w:hAnsi="Nunito Sans"/>
                <w:color w:val="102E3B"/>
                <w:sz w:val="19"/>
                <w:szCs w:val="19"/>
              </w:rPr>
              <w:t xml:space="preserve">Los socios pequeños rara vez tienen reservas para prefinanciar actividades. Haz que el primer tramo sea lo bastante grande para cubrir el primer periodo más un margen (a menudo, los costos de un trimestre), y fija el umbral de gasto de la cláusula 4.3 en un nivel realista, para que el Proyecto no se detenga mientras se revisa un informe. Comprueba que tu propio calendario de pagos del Donante Principal te permite pagar a tiempo.</w:t>
            </w:r>
          </w:p>
          <w:p>
            <w:pPr>
              <w:spacing w:after="120" w:before="0" w:line="300"/>
            </w:pPr>
            <w:r>
              <w:rPr>
                <w:rFonts w:ascii="Nunito Sans" w:cs="Nunito Sans" w:eastAsia="Nunito Sans" w:hAnsi="Nunito Sans"/>
                <w:color w:val="102E3B"/>
                <w:sz w:val="19"/>
                <w:szCs w:val="19"/>
              </w:rPr>
              <w:t xml:space="preserve">Acuerda cómo se gestionan las variaciones de moneda. En países con monedas volátiles, una fuerte caída puede acabar con un presupuesto: considera pagar en una moneda fuerte, pagar tramos más pequeños con más frecuencia o incluir una partida para imprevistos.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Costos elegibles</w:t>
      </w:r>
    </w:p>
    <w:p>
      <w:pPr>
        <w:pStyle w:val="ListParagraph"/>
        <w:numPr>
          <w:ilvl w:val="0"/>
          <w:numId w:val="8"/>
        </w:numPr>
        <w:spacing w:after="80" w:line="290"/>
      </w:pPr>
      <w:r>
        <w:rPr>
          <w:rFonts w:ascii="Nunito Sans" w:cs="Nunito Sans" w:eastAsia="Nunito Sans" w:hAnsi="Nunito Sans"/>
          <w:color w:val="102E3B"/>
          <w:sz w:val="20"/>
          <w:szCs w:val="20"/>
        </w:rPr>
        <w:t xml:space="preserve">Un costo solo es elegible si:</w:t>
      </w:r>
    </w:p>
    <w:p>
      <w:pPr>
        <w:pStyle w:val="ListParagraph"/>
        <w:numPr>
          <w:ilvl w:val="1"/>
          <w:numId w:val="8"/>
        </w:numPr>
        <w:spacing w:after="80" w:line="290"/>
      </w:pPr>
      <w:r>
        <w:rPr>
          <w:rFonts w:ascii="Nunito Sans" w:cs="Nunito Sans" w:eastAsia="Nunito Sans" w:hAnsi="Nunito Sans"/>
          <w:color w:val="102E3B"/>
          <w:sz w:val="20"/>
          <w:szCs w:val="20"/>
        </w:rPr>
        <w:t xml:space="preserve">es necesario para el Proyecto y está incluido en el Presupuesto Aprobado;</w:t>
      </w:r>
    </w:p>
    <w:p>
      <w:pPr>
        <w:pStyle w:val="ListParagraph"/>
        <w:numPr>
          <w:ilvl w:val="1"/>
          <w:numId w:val="8"/>
        </w:numPr>
        <w:spacing w:after="80" w:line="290"/>
      </w:pPr>
      <w:r>
        <w:rPr>
          <w:rFonts w:ascii="Nunito Sans" w:cs="Nunito Sans" w:eastAsia="Nunito Sans" w:hAnsi="Nunito Sans"/>
          <w:color w:val="102E3B"/>
          <w:sz w:val="20"/>
          <w:szCs w:val="20"/>
        </w:rPr>
        <w:t xml:space="preserve">se incurre durante el Periodo del Proyecto, o se paga en un plazo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después de este por actividades realizadas durante él;</w:t>
      </w:r>
    </w:p>
    <w:p>
      <w:pPr>
        <w:pStyle w:val="ListParagraph"/>
        <w:numPr>
          <w:ilvl w:val="1"/>
          <w:numId w:val="8"/>
        </w:numPr>
        <w:spacing w:after="80" w:line="290"/>
      </w:pPr>
      <w:r>
        <w:rPr>
          <w:rFonts w:ascii="Nunito Sans" w:cs="Nunito Sans" w:eastAsia="Nunito Sans" w:hAnsi="Nunito Sans"/>
          <w:color w:val="102E3B"/>
          <w:sz w:val="20"/>
          <w:szCs w:val="20"/>
        </w:rPr>
        <w:t xml:space="preserve">es razonable y sigue las políticas propias del Socio y las reglas de compras de la cláusula 7;</w:t>
      </w:r>
    </w:p>
    <w:p>
      <w:pPr>
        <w:pStyle w:val="ListParagraph"/>
        <w:numPr>
          <w:ilvl w:val="1"/>
          <w:numId w:val="8"/>
        </w:numPr>
        <w:spacing w:after="80" w:line="290"/>
      </w:pPr>
      <w:r>
        <w:rPr>
          <w:rFonts w:ascii="Nunito Sans" w:cs="Nunito Sans" w:eastAsia="Nunito Sans" w:hAnsi="Nunito Sans"/>
          <w:color w:val="102E3B"/>
          <w:sz w:val="20"/>
          <w:szCs w:val="20"/>
        </w:rPr>
        <w:t xml:space="preserve">está registrado en la contabilidad del Socio y respaldado por justificantes como facturas, recibos, contratos, registros de nómina y listas de asistencia; y</w:t>
      </w:r>
    </w:p>
    <w:p>
      <w:pPr>
        <w:pStyle w:val="ListParagraph"/>
        <w:numPr>
          <w:ilvl w:val="1"/>
          <w:numId w:val="8"/>
        </w:numPr>
        <w:spacing w:after="80" w:line="290"/>
      </w:pPr>
      <w:r>
        <w:rPr>
          <w:rFonts w:ascii="Nunito Sans" w:cs="Nunito Sans" w:eastAsia="Nunito Sans" w:hAnsi="Nunito Sans"/>
          <w:color w:val="102E3B"/>
          <w:sz w:val="20"/>
          <w:szCs w:val="20"/>
        </w:rPr>
        <w:t xml:space="preserve">no está financiado por nadie más.</w:t>
      </w:r>
    </w:p>
    <w:p>
      <w:pPr>
        <w:pStyle w:val="ListParagraph"/>
        <w:numPr>
          <w:ilvl w:val="0"/>
          <w:numId w:val="8"/>
        </w:numPr>
        <w:spacing w:after="80" w:line="290"/>
      </w:pPr>
      <w:r>
        <w:rPr>
          <w:rFonts w:ascii="Nunito Sans" w:cs="Nunito Sans" w:eastAsia="Nunito Sans" w:hAnsi="Nunito Sans"/>
          <w:color w:val="102E3B"/>
          <w:sz w:val="20"/>
          <w:szCs w:val="20"/>
        </w:rPr>
        <w:t xml:space="preserve">No son elegibles: los costos incurridos fuera del Periodo del Proyecto; las deudas, multas y sanciones; los costos de </w:t>
      </w:r>
      <w:r>
        <w:rPr>
          <w:rFonts w:ascii="Nunito Sans" w:cs="Nunito Sans" w:eastAsia="Nunito Sans" w:hAnsi="Nunito Sans"/>
          <w:color w:val="102E3B"/>
          <w:sz w:val="20"/>
          <w:szCs w:val="20"/>
          <w:highlight w:val="yellow"/>
        </w:rPr>
        <w:t xml:space="preserve">[alcohol, ocio y regalos]</w:t>
      </w:r>
      <w:r>
        <w:rPr>
          <w:rFonts w:ascii="Nunito Sans" w:cs="Nunito Sans" w:eastAsia="Nunito Sans" w:hAnsi="Nunito Sans"/>
          <w:color w:val="102E3B"/>
          <w:sz w:val="20"/>
          <w:szCs w:val="20"/>
        </w:rPr>
        <w:t xml:space="preserve">; las campañas políticas o religiosas; los artículos prohibidos por el Donante Principal; y cualquier importe perdido por fraude o robo, salvo en lo que permita la cláusula 15.4.</w:t>
      </w:r>
    </w:p>
    <w:p>
      <w:pPr>
        <w:pStyle w:val="ListParagraph"/>
        <w:numPr>
          <w:ilvl w:val="0"/>
          <w:numId w:val="8"/>
        </w:numPr>
        <w:spacing w:after="80" w:line="290"/>
      </w:pPr>
      <w:r>
        <w:rPr>
          <w:rFonts w:ascii="Nunito Sans" w:cs="Nunito Sans" w:eastAsia="Nunito Sans" w:hAnsi="Nunito Sans"/>
          <w:b/>
          <w:bCs/>
          <w:color w:val="102E3B"/>
          <w:sz w:val="20"/>
          <w:szCs w:val="20"/>
        </w:rPr>
        <w:t xml:space="preserve">Costos indirectos.</w:t>
      </w:r>
      <w:r>
        <w:rPr>
          <w:rFonts w:ascii="Nunito Sans" w:cs="Nunito Sans" w:eastAsia="Nunito Sans" w:hAnsi="Nunito Sans"/>
          <w:color w:val="102E3B"/>
          <w:sz w:val="20"/>
          <w:szCs w:val="20"/>
        </w:rPr>
        <w:t xml:space="preserve"> El Presupuesto Aprobado incluye una contribución a los gastos de funcionamiento del Socio del </w:t>
      </w:r>
      <w:r>
        <w:rPr>
          <w:rFonts w:ascii="Nunito Sans" w:cs="Nunito Sans" w:eastAsia="Nunito Sans" w:hAnsi="Nunito Sans"/>
          <w:color w:val="102E3B"/>
          <w:sz w:val="20"/>
          <w:szCs w:val="20"/>
          <w:highlight w:val="yellow"/>
        </w:rPr>
        <w:t xml:space="preserve">[X]</w:t>
      </w:r>
      <w:r>
        <w:rPr>
          <w:rFonts w:ascii="Nunito Sans" w:cs="Nunito Sans" w:eastAsia="Nunito Sans" w:hAnsi="Nunito Sans"/>
          <w:color w:val="102E3B"/>
          <w:sz w:val="20"/>
          <w:szCs w:val="20"/>
        </w:rPr>
        <w:t xml:space="preserve"> % de los costos directos. El Socio </w:t>
      </w:r>
      <w:r>
        <w:rPr>
          <w:rFonts w:ascii="Nunito Sans" w:cs="Nunito Sans" w:eastAsia="Nunito Sans" w:hAnsi="Nunito Sans"/>
          <w:color w:val="102E3B"/>
          <w:sz w:val="20"/>
          <w:szCs w:val="20"/>
          <w:highlight w:val="yellow"/>
        </w:rPr>
        <w:t xml:space="preserve">[no necesita presentar recibos de esta contribución / la justifica según exija el Donante Principal]</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6. Gestión financiera</w:t>
      </w:r>
    </w:p>
    <w:p>
      <w:pPr>
        <w:pStyle w:val="ListParagraph"/>
        <w:numPr>
          <w:ilvl w:val="0"/>
          <w:numId w:val="9"/>
        </w:numPr>
        <w:spacing w:after="80" w:line="290"/>
      </w:pPr>
      <w:r>
        <w:rPr>
          <w:rFonts w:ascii="Nunito Sans" w:cs="Nunito Sans" w:eastAsia="Nunito Sans" w:hAnsi="Nunito Sans"/>
          <w:color w:val="102E3B"/>
          <w:sz w:val="20"/>
          <w:szCs w:val="20"/>
        </w:rPr>
        <w:t xml:space="preserve">El Socio llevará el seguimiento de la Subvención por separado de sus demás fondos, mediante </w:t>
      </w:r>
      <w:r>
        <w:rPr>
          <w:rFonts w:ascii="Nunito Sans" w:cs="Nunito Sans" w:eastAsia="Nunito Sans" w:hAnsi="Nunito Sans"/>
          <w:color w:val="102E3B"/>
          <w:sz w:val="20"/>
          <w:szCs w:val="20"/>
          <w:highlight w:val="yellow"/>
        </w:rPr>
        <w:t xml:space="preserve">[una cuenta bancaria separada / un código de proyecto separado en su sistema contable]</w:t>
      </w:r>
      <w:r>
        <w:rPr>
          <w:rFonts w:ascii="Nunito Sans" w:cs="Nunito Sans" w:eastAsia="Nunito Sans" w:hAnsi="Nunito Sans"/>
          <w:color w:val="102E3B"/>
          <w:sz w:val="20"/>
          <w:szCs w:val="20"/>
        </w:rPr>
        <w:t xml:space="preserve">, de modo que pueda identificarse cada partida de ingreso y de costo del Proyecto.</w:t>
      </w:r>
    </w:p>
    <w:p>
      <w:pPr>
        <w:pStyle w:val="ListParagraph"/>
        <w:numPr>
          <w:ilvl w:val="0"/>
          <w:numId w:val="9"/>
        </w:numPr>
        <w:spacing w:after="80" w:line="290"/>
      </w:pPr>
      <w:r>
        <w:rPr>
          <w:rFonts w:ascii="Nunito Sans" w:cs="Nunito Sans" w:eastAsia="Nunito Sans" w:hAnsi="Nunito Sans"/>
          <w:color w:val="102E3B"/>
          <w:sz w:val="20"/>
          <w:szCs w:val="20"/>
        </w:rPr>
        <w:t xml:space="preserve">El Socio llevará una contabilidad completa y exacta y conservará los justificantes originales de cada costo.</w:t>
      </w:r>
    </w:p>
    <w:p>
      <w:pPr>
        <w:pStyle w:val="ListParagraph"/>
        <w:numPr>
          <w:ilvl w:val="0"/>
          <w:numId w:val="9"/>
        </w:numPr>
        <w:spacing w:after="80" w:line="290"/>
      </w:pPr>
      <w:r>
        <w:rPr>
          <w:rFonts w:ascii="Nunito Sans" w:cs="Nunito Sans" w:eastAsia="Nunito Sans" w:hAnsi="Nunito Sans"/>
          <w:color w:val="102E3B"/>
          <w:sz w:val="20"/>
          <w:szCs w:val="20"/>
        </w:rPr>
        <w:t xml:space="preserve">Como mínimo, el Socio:</w:t>
      </w:r>
    </w:p>
    <w:p>
      <w:pPr>
        <w:pStyle w:val="ListParagraph"/>
        <w:numPr>
          <w:ilvl w:val="1"/>
          <w:numId w:val="9"/>
        </w:numPr>
        <w:spacing w:after="80" w:line="290"/>
      </w:pPr>
      <w:r>
        <w:rPr>
          <w:rFonts w:ascii="Nunito Sans" w:cs="Nunito Sans" w:eastAsia="Nunito Sans" w:hAnsi="Nunito Sans"/>
          <w:color w:val="102E3B"/>
          <w:sz w:val="20"/>
          <w:szCs w:val="20"/>
        </w:rPr>
        <w:t xml:space="preserve">exigirá que dos personas autorizadas aprueben cada pago, y mantendrá separadas las funciones de pedir, aprobar y pagar en la medida en que su tamaño lo permita;</w:t>
      </w:r>
    </w:p>
    <w:p>
      <w:pPr>
        <w:pStyle w:val="ListParagraph"/>
        <w:numPr>
          <w:ilvl w:val="1"/>
          <w:numId w:val="9"/>
        </w:numPr>
        <w:spacing w:after="80" w:line="290"/>
      </w:pPr>
      <w:r>
        <w:rPr>
          <w:rFonts w:ascii="Nunito Sans" w:cs="Nunito Sans" w:eastAsia="Nunito Sans" w:hAnsi="Nunito Sans"/>
          <w:color w:val="102E3B"/>
          <w:sz w:val="20"/>
          <w:szCs w:val="20"/>
        </w:rPr>
        <w:t xml:space="preserve">conciliará cada mes la cuenta bancaria del Proyecto;</w:t>
      </w:r>
    </w:p>
    <w:p>
      <w:pPr>
        <w:pStyle w:val="ListParagraph"/>
        <w:numPr>
          <w:ilvl w:val="1"/>
          <w:numId w:val="9"/>
        </w:numPr>
        <w:spacing w:after="80" w:line="290"/>
      </w:pPr>
      <w:r>
        <w:rPr>
          <w:rFonts w:ascii="Nunito Sans" w:cs="Nunito Sans" w:eastAsia="Nunito Sans" w:hAnsi="Nunito Sans"/>
          <w:color w:val="102E3B"/>
          <w:sz w:val="20"/>
          <w:szCs w:val="20"/>
        </w:rPr>
        <w:t xml:space="preserve">pagará por transferencia bancaria o dinero móvil siempre que sea posible, y mantendrá cada pago en efectivo por debajo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con un recibo firmado;</w:t>
      </w:r>
    </w:p>
    <w:p>
      <w:pPr>
        <w:pStyle w:val="ListParagraph"/>
        <w:numPr>
          <w:ilvl w:val="1"/>
          <w:numId w:val="9"/>
        </w:numPr>
        <w:spacing w:after="80" w:line="290"/>
      </w:pPr>
      <w:r>
        <w:rPr>
          <w:rFonts w:ascii="Nunito Sans" w:cs="Nunito Sans" w:eastAsia="Nunito Sans" w:hAnsi="Nunito Sans"/>
          <w:color w:val="102E3B"/>
          <w:sz w:val="20"/>
          <w:szCs w:val="20"/>
        </w:rPr>
        <w:t xml:space="preserve">llevará un registro de los equipos adquiridos con la Subvención cuyo valor supere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y</w:t>
      </w:r>
    </w:p>
    <w:p>
      <w:pPr>
        <w:pStyle w:val="ListParagraph"/>
        <w:numPr>
          <w:ilvl w:val="1"/>
          <w:numId w:val="9"/>
        </w:numPr>
        <w:spacing w:after="80" w:line="290"/>
      </w:pPr>
      <w:r>
        <w:rPr>
          <w:rFonts w:ascii="Nunito Sans" w:cs="Nunito Sans" w:eastAsia="Nunito Sans" w:hAnsi="Nunito Sans"/>
          <w:color w:val="102E3B"/>
          <w:sz w:val="20"/>
          <w:szCs w:val="20"/>
        </w:rPr>
        <w:t xml:space="preserve">informará al Otorgante,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 de cualquier cambio en su situación jurídica, en su dirección, en sus personas firmantes bancarias o en su firma auditora.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CONTROLES FINANCIEROS PROPORCIONALES</w:t>
            </w:r>
          </w:p>
          <w:p>
            <w:pPr>
              <w:spacing w:after="120" w:before="0" w:line="300"/>
            </w:pPr>
            <w:r>
              <w:rPr>
                <w:rFonts w:ascii="Nunito Sans" w:cs="Nunito Sans" w:eastAsia="Nunito Sans" w:hAnsi="Nunito Sans"/>
                <w:color w:val="102E3B"/>
                <w:sz w:val="19"/>
                <w:szCs w:val="19"/>
              </w:rPr>
              <w:t xml:space="preserve">Ajusta los controles al tamaño del socio y al importe de la Subvención. Un socio con dos personas en plantilla puede igualmente hacer que dos personas aprueben los pagos, por ejemplo un miembro del personal y la persona tesorera de su órgano de gobierno, aunque una sola persona lleve la contabilidad. Donde el dinero móvil sea lo habitual, acepta los extractos de dinero móvil como justificante. Si el socio tiene carencias, acuerda un breve plan de mejora conforme a la cláusula 14 en lugar de negarte a financiarlo. Revisa las reglas del Donante Principal, que pueden fijar límites concretos de efectivo o exigir una cuenta bancaria separada.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Compras y contrataciones</w:t>
      </w:r>
    </w:p>
    <w:p>
      <w:pPr>
        <w:pStyle w:val="ListParagraph"/>
        <w:numPr>
          <w:ilvl w:val="0"/>
          <w:numId w:val="10"/>
        </w:numPr>
        <w:spacing w:after="80" w:line="290"/>
      </w:pPr>
      <w:r>
        <w:rPr>
          <w:rFonts w:ascii="Nunito Sans" w:cs="Nunito Sans" w:eastAsia="Nunito Sans" w:hAnsi="Nunito Sans"/>
          <w:color w:val="102E3B"/>
          <w:sz w:val="20"/>
          <w:szCs w:val="20"/>
        </w:rPr>
        <w:t xml:space="preserve">El Socio adquirirá los bienes y servicios para el Proyecto de forma justa, transparente y con la mejor relación calidad-precio. Seguirá su propia política de compras cuando sea al menos tan estricta como esta cláusula y, en caso contrario, las reglas mínimas de la tabla siguiente.</w:t>
      </w:r>
    </w:p>
    <w:p>
      <w:pPr>
        <w:pStyle w:val="ListParagraph"/>
        <w:numPr>
          <w:ilvl w:val="0"/>
          <w:numId w:val="10"/>
        </w:numPr>
        <w:spacing w:after="80" w:line="290"/>
      </w:pPr>
      <w:r>
        <w:rPr>
          <w:rFonts w:ascii="Nunito Sans" w:cs="Nunito Sans" w:eastAsia="Nunito Sans" w:hAnsi="Nunito Sans"/>
          <w:color w:val="102E3B"/>
          <w:sz w:val="20"/>
          <w:szCs w:val="20"/>
        </w:rPr>
        <w:t xml:space="preserve">El Socio no fraccionará las compras para eludir un umbral. Cualquier persona con un conflicto de interés en una compra lo declarará y no participará en la decisión.</w:t>
      </w:r>
    </w:p>
    <w:p>
      <w:pPr>
        <w:pStyle w:val="ListParagraph"/>
        <w:numPr>
          <w:ilvl w:val="0"/>
          <w:numId w:val="10"/>
        </w:numPr>
        <w:spacing w:after="80" w:line="290"/>
      </w:pPr>
      <w:r>
        <w:rPr>
          <w:rFonts w:ascii="Nunito Sans" w:cs="Nunito Sans" w:eastAsia="Nunito Sans" w:hAnsi="Nunito Sans"/>
          <w:color w:val="102E3B"/>
          <w:sz w:val="20"/>
          <w:szCs w:val="20"/>
        </w:rPr>
        <w:t xml:space="preserve">El Socio comprobará que los proveedores por encima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no figuran en las listas de sanciones de la cláusula 11.4, y conservará constancia de cada decisión de compra.</w:t>
      </w:r>
    </w:p>
    <w:p>
      <w:pPr>
        <w:pStyle w:val="ListParagraph"/>
        <w:numPr>
          <w:ilvl w:val="0"/>
          <w:numId w:val="10"/>
        </w:numPr>
        <w:spacing w:after="80" w:line="290"/>
      </w:pPr>
      <w:r>
        <w:rPr>
          <w:rFonts w:ascii="Nunito Sans" w:cs="Nunito Sans" w:eastAsia="Nunito Sans" w:hAnsi="Nunito Sans"/>
          <w:color w:val="102E3B"/>
          <w:sz w:val="20"/>
          <w:szCs w:val="20"/>
        </w:rPr>
        <w:t xml:space="preserve">Los equipos adquiridos con la Subvención pertenecen al Socio </w:t>
      </w:r>
      <w:r>
        <w:rPr>
          <w:rFonts w:ascii="Nunito Sans" w:cs="Nunito Sans" w:eastAsia="Nunito Sans" w:hAnsi="Nunito Sans"/>
          <w:color w:val="102E3B"/>
          <w:sz w:val="20"/>
          <w:szCs w:val="20"/>
          <w:highlight w:val="yellow"/>
        </w:rPr>
        <w:t xml:space="preserve">[salvo que el Donante Principal exija otra cosa]</w:t>
      </w:r>
      <w:r>
        <w:rPr>
          <w:rFonts w:ascii="Nunito Sans" w:cs="Nunito Sans" w:eastAsia="Nunito Sans" w:hAnsi="Nunito Sans"/>
          <w:color w:val="102E3B"/>
          <w:sz w:val="20"/>
          <w:szCs w:val="20"/>
        </w:rPr>
        <w:t xml:space="preserve">, se usan para el Proyecto y no se venden durante el Periodo del Proyecto sin la aprobación por escrito del Otorgante.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VALOR DE LA COMPRA</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PROCESO MÍNIMO</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Hasta </w:t>
            </w:r>
            <w:r>
              <w:rPr>
                <w:rFonts w:ascii="Nunito Sans" w:cs="Nunito Sans" w:eastAsia="Nunito Sans" w:hAnsi="Nunito Sans"/>
                <w:color w:val="102E3B"/>
                <w:sz w:val="18"/>
                <w:szCs w:val="18"/>
                <w:highlight w:val="yellow"/>
              </w:rPr>
              <w:t xml:space="preserve">[importe]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cotización o una comprobación de precios, documentada</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w:t>
            </w:r>
            <w:r>
              <w:rPr>
                <w:rFonts w:ascii="Nunito Sans" w:cs="Nunito Sans" w:eastAsia="Nunito Sans" w:hAnsi="Nunito Sans"/>
                <w:color w:val="102E3B"/>
                <w:sz w:val="18"/>
                <w:szCs w:val="18"/>
                <w:highlight w:val="yellow"/>
              </w:rPr>
              <w:t xml:space="preserve">[importe]</w:t>
            </w:r>
            <w:r>
              <w:rPr>
                <w:rFonts w:ascii="Nunito Sans" w:cs="Nunito Sans" w:eastAsia="Nunito Sans" w:hAnsi="Nunito Sans"/>
                <w:color w:val="102E3B"/>
                <w:sz w:val="18"/>
                <w:szCs w:val="18"/>
              </w:rPr>
              <w:t xml:space="preserve"> a </w:t>
            </w:r>
            <w:r>
              <w:rPr>
                <w:rFonts w:ascii="Nunito Sans" w:cs="Nunito Sans" w:eastAsia="Nunito Sans" w:hAnsi="Nunito Sans"/>
                <w:color w:val="102E3B"/>
                <w:sz w:val="18"/>
                <w:szCs w:val="18"/>
                <w:highlight w:val="yellow"/>
              </w:rPr>
              <w:t xml:space="preserve">[importe]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menos tres cotizaciones por escrito, comparadas por escrito</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Por encima de </w:t>
            </w:r>
            <w:r>
              <w:rPr>
                <w:rFonts w:ascii="Nunito Sans" w:cs="Nunito Sans" w:eastAsia="Nunito Sans" w:hAnsi="Nunito Sans"/>
                <w:color w:val="102E3B"/>
                <w:sz w:val="18"/>
                <w:szCs w:val="18"/>
                <w:highlight w:val="yellow"/>
              </w:rPr>
              <w:t xml:space="preserve">[importe]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Licitación abierta o competitiva, con la aprobación previa por escrito del Otorgante sobre la selección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UMBRALES DE COMPRA</w:t>
            </w:r>
          </w:p>
          <w:p>
            <w:pPr>
              <w:spacing w:after="120" w:before="0" w:line="300"/>
            </w:pPr>
            <w:r>
              <w:rPr>
                <w:rFonts w:ascii="Nunito Sans" w:cs="Nunito Sans" w:eastAsia="Nunito Sans" w:hAnsi="Nunito Sans"/>
                <w:color w:val="102E3B"/>
                <w:sz w:val="19"/>
                <w:szCs w:val="19"/>
              </w:rPr>
              <w:t xml:space="preserve">Fija umbrales adaptados a los precios locales y al tamaño del socio, y revisa primero las reglas del Donante Principal: muchos donantes fijan sus propios umbrales y algunos añaden reglas sobre el origen de los bienes. En zonas remotas puede que no existan tres cotizaciones. Permite en su lugar una explicación documentada, aprobada por una segunda persona. La plantilla de Política de Compras y Contrataciones muestra un enfoque más completo.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Cambios y flexibilidad presupuestaria</w:t>
      </w:r>
    </w:p>
    <w:p>
      <w:pPr>
        <w:pStyle w:val="ListParagraph"/>
        <w:numPr>
          <w:ilvl w:val="0"/>
          <w:numId w:val="11"/>
        </w:numPr>
        <w:spacing w:after="80" w:line="290"/>
      </w:pPr>
      <w:r>
        <w:rPr>
          <w:rFonts w:ascii="Nunito Sans" w:cs="Nunito Sans" w:eastAsia="Nunito Sans" w:hAnsi="Nunito Sans"/>
          <w:color w:val="102E3B"/>
          <w:sz w:val="20"/>
          <w:szCs w:val="20"/>
        </w:rPr>
        <w:t xml:space="preserve">El Socio podrá trasladar hasta el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 de cualquier partida presupuestaria a otra partida existente sin aprobación previa, siempre que el total de la Subvención no cambie. Explicará el cambio en su siguiente informe financiero.</w:t>
      </w:r>
    </w:p>
    <w:p>
      <w:pPr>
        <w:pStyle w:val="ListParagraph"/>
        <w:numPr>
          <w:ilvl w:val="0"/>
          <w:numId w:val="11"/>
        </w:numPr>
        <w:spacing w:after="80" w:line="290"/>
      </w:pPr>
      <w:r>
        <w:rPr>
          <w:rFonts w:ascii="Nunito Sans" w:cs="Nunito Sans" w:eastAsia="Nunito Sans" w:hAnsi="Nunito Sans"/>
          <w:color w:val="102E3B"/>
          <w:sz w:val="20"/>
          <w:szCs w:val="20"/>
        </w:rPr>
        <w:t xml:space="preserve">El Socio necesita la aprobación previa por escrito del Otorgante para trasladar más de ese porcentaje, añadir una nueva partida presupuestaria, modificar las partidas de </w:t>
      </w:r>
      <w:r>
        <w:rPr>
          <w:rFonts w:ascii="Nunito Sans" w:cs="Nunito Sans" w:eastAsia="Nunito Sans" w:hAnsi="Nunito Sans"/>
          <w:color w:val="102E3B"/>
          <w:sz w:val="20"/>
          <w:szCs w:val="20"/>
          <w:highlight w:val="yellow"/>
        </w:rPr>
        <w:t xml:space="preserve">[salarios del personal o equipos]</w:t>
      </w:r>
      <w:r>
        <w:rPr>
          <w:rFonts w:ascii="Nunito Sans" w:cs="Nunito Sans" w:eastAsia="Nunito Sans" w:hAnsi="Nunito Sans"/>
          <w:color w:val="102E3B"/>
          <w:sz w:val="20"/>
          <w:szCs w:val="20"/>
        </w:rPr>
        <w:t xml:space="preserve">, o introducir cualquier cambio significativo en las actividades, los lugares o los resultados previstos del Proyecto.</w:t>
      </w:r>
    </w:p>
    <w:p>
      <w:pPr>
        <w:pStyle w:val="ListParagraph"/>
        <w:numPr>
          <w:ilvl w:val="0"/>
          <w:numId w:val="11"/>
        </w:numPr>
        <w:spacing w:after="80" w:line="290"/>
      </w:pPr>
      <w:r>
        <w:rPr>
          <w:rFonts w:ascii="Nunito Sans" w:cs="Nunito Sans" w:eastAsia="Nunito Sans" w:hAnsi="Nunito Sans"/>
          <w:color w:val="102E3B"/>
          <w:sz w:val="20"/>
          <w:szCs w:val="20"/>
        </w:rPr>
        <w:t xml:space="preserve">El Otorgante responderá a una solicitud de cambio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No rechazará sin motivo razonable un cambio que ayude al Proyecto a responder a condiciones nuevas.</w:t>
      </w:r>
    </w:p>
    <w:p>
      <w:pPr>
        <w:pStyle w:val="ListParagraph"/>
        <w:numPr>
          <w:ilvl w:val="0"/>
          <w:numId w:val="11"/>
        </w:numPr>
        <w:spacing w:after="80" w:line="290"/>
      </w:pPr>
      <w:r>
        <w:rPr>
          <w:rFonts w:ascii="Nunito Sans" w:cs="Nunito Sans" w:eastAsia="Nunito Sans" w:hAnsi="Nunito Sans"/>
          <w:color w:val="102E3B"/>
          <w:sz w:val="20"/>
          <w:szCs w:val="20"/>
        </w:rPr>
        <w:t xml:space="preserve">Una solicitud de prórroga del Periodo del Proyecto, con o sin fondos adicionales, debe presentarse al menos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antes de que termine.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FLEXIBILIDAD PRESUPUESTARIA</w:t>
            </w:r>
          </w:p>
          <w:p>
            <w:pPr>
              <w:spacing w:after="120" w:before="0" w:line="300"/>
            </w:pPr>
            <w:r>
              <w:rPr>
                <w:rFonts w:ascii="Nunito Sans" w:cs="Nunito Sans" w:eastAsia="Nunito Sans" w:hAnsi="Nunito Sans"/>
                <w:color w:val="102E3B"/>
                <w:sz w:val="19"/>
                <w:szCs w:val="19"/>
              </w:rPr>
              <w:t xml:space="preserve">Un diez por ciento entre partidas es un límite habitual, pero decide la regla de tu Donante Principal: los límites varían y algunos donantes exigen aprobación para cualquier cambio. Usa el límite del Donante Principal, o uno más estricto solo si tienes un buen motivo. La flexibilidad ayuda a los socios a responder a las subidas de precios y a los cambios de contexto, que son habituales en los proyectos largos.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Informes</w:t>
      </w:r>
    </w:p>
    <w:p>
      <w:pPr>
        <w:pStyle w:val="ListParagraph"/>
        <w:numPr>
          <w:ilvl w:val="0"/>
          <w:numId w:val="12"/>
        </w:numPr>
        <w:spacing w:after="80" w:line="290"/>
      </w:pPr>
      <w:r>
        <w:rPr>
          <w:rFonts w:ascii="Nunito Sans" w:cs="Nunito Sans" w:eastAsia="Nunito Sans" w:hAnsi="Nunito Sans"/>
          <w:color w:val="102E3B"/>
          <w:sz w:val="20"/>
          <w:szCs w:val="20"/>
        </w:rPr>
        <w:t xml:space="preserve">El Socio enviará los informes establecidos en el Anexo 2, en las fechas allí fijadas, con las plantillas que facilite el Otorgante </w:t>
      </w:r>
      <w:r>
        <w:rPr>
          <w:rFonts w:ascii="Nunito Sans" w:cs="Nunito Sans" w:eastAsia="Nunito Sans" w:hAnsi="Nunito Sans"/>
          <w:color w:val="102E3B"/>
          <w:sz w:val="20"/>
          <w:szCs w:val="20"/>
          <w:highlight w:val="yellow"/>
        </w:rPr>
        <w:t xml:space="preserve">[o con el formato propio del Socio, si contiene la misma información]</w:t>
      </w:r>
      <w:r>
        <w:rPr>
          <w:rFonts w:ascii="Nunito Sans" w:cs="Nunito Sans" w:eastAsia="Nunito Sans" w:hAnsi="Nunito Sans"/>
          <w:color w:val="102E3B"/>
          <w:sz w:val="20"/>
          <w:szCs w:val="20"/>
        </w:rPr>
        <w:t xml:space="preserve">.</w:t>
      </w:r>
    </w:p>
    <w:p>
      <w:pPr>
        <w:pStyle w:val="ListParagraph"/>
        <w:numPr>
          <w:ilvl w:val="0"/>
          <w:numId w:val="12"/>
        </w:numPr>
        <w:spacing w:after="80" w:line="290"/>
      </w:pPr>
      <w:r>
        <w:rPr>
          <w:rFonts w:ascii="Nunito Sans" w:cs="Nunito Sans" w:eastAsia="Nunito Sans" w:hAnsi="Nunito Sans"/>
          <w:color w:val="102E3B"/>
          <w:sz w:val="20"/>
          <w:szCs w:val="20"/>
        </w:rPr>
        <w:t xml:space="preserve">Los informes narrativos describen las actividades, los avances respecto de los resultados del Anexo 1, las dificultades, los cambios, los riesgos, los aprendizajes y la retroalimentación de las comunidades atendidas.</w:t>
      </w:r>
    </w:p>
    <w:p>
      <w:pPr>
        <w:pStyle w:val="ListParagraph"/>
        <w:numPr>
          <w:ilvl w:val="0"/>
          <w:numId w:val="12"/>
        </w:numPr>
        <w:spacing w:after="80" w:line="290"/>
      </w:pPr>
      <w:r>
        <w:rPr>
          <w:rFonts w:ascii="Nunito Sans" w:cs="Nunito Sans" w:eastAsia="Nunito Sans" w:hAnsi="Nunito Sans"/>
          <w:color w:val="102E3B"/>
          <w:sz w:val="20"/>
          <w:szCs w:val="20"/>
        </w:rPr>
        <w:t xml:space="preserve">Los informes financieros muestran los ingresos y el gasto por partida presupuestaria, comparados con el Presupuesto Aprobado, con una explicación de cualquier diferencia superior al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 y de los tipos de cambio usados.</w:t>
      </w:r>
    </w:p>
    <w:p>
      <w:pPr>
        <w:pStyle w:val="ListParagraph"/>
        <w:numPr>
          <w:ilvl w:val="0"/>
          <w:numId w:val="12"/>
        </w:numPr>
        <w:spacing w:after="80" w:line="290"/>
      </w:pPr>
      <w:r>
        <w:rPr>
          <w:rFonts w:ascii="Nunito Sans" w:cs="Nunito Sans" w:eastAsia="Nunito Sans" w:hAnsi="Nunito Sans"/>
          <w:color w:val="102E3B"/>
          <w:sz w:val="20"/>
          <w:szCs w:val="20"/>
        </w:rPr>
        <w:t xml:space="preserve">El Socio informará al Otorgante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 de cualquier hecho que afecte de forma significativa al Proyecto, como un retraso, un incidente de seguridad o una queja grave.</w:t>
      </w:r>
    </w:p>
    <w:p>
      <w:pPr>
        <w:pStyle w:val="Heading2"/>
        <w:keepNext/>
        <w:spacing w:after="120" w:before="280"/>
      </w:pPr>
      <w:r>
        <w:rPr>
          <w:rFonts w:ascii="DM Serif Display" w:cs="DM Serif Display" w:eastAsia="DM Serif Display" w:hAnsi="DM Serif Display"/>
          <w:color w:val="123C48"/>
          <w:sz w:val="28"/>
          <w:szCs w:val="28"/>
        </w:rPr>
        <w:t xml:space="preserve">10. Seguimiento, auditoría y registros</w:t>
      </w:r>
    </w:p>
    <w:p>
      <w:pPr>
        <w:pStyle w:val="ListParagraph"/>
        <w:numPr>
          <w:ilvl w:val="0"/>
          <w:numId w:val="13"/>
        </w:numPr>
        <w:spacing w:after="80" w:line="290"/>
      </w:pPr>
      <w:r>
        <w:rPr>
          <w:rFonts w:ascii="Nunito Sans" w:cs="Nunito Sans" w:eastAsia="Nunito Sans" w:hAnsi="Nunito Sans"/>
          <w:color w:val="102E3B"/>
          <w:sz w:val="20"/>
          <w:szCs w:val="20"/>
        </w:rPr>
        <w:t xml:space="preserve">El Otorgante podrá hacer seguimiento del Proyecto mediante reuniones, revisiones documentales y visitas. Avisará de una visita con al menos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 de antelación, salvo que tenga una inquietud de salvaguarda o de fraude.</w:t>
      </w:r>
    </w:p>
    <w:p>
      <w:pPr>
        <w:pStyle w:val="ListParagraph"/>
        <w:numPr>
          <w:ilvl w:val="0"/>
          <w:numId w:val="13"/>
        </w:numPr>
        <w:spacing w:after="80" w:line="290"/>
      </w:pPr>
      <w:r>
        <w:rPr>
          <w:rFonts w:ascii="Nunito Sans" w:cs="Nunito Sans" w:eastAsia="Nunito Sans" w:hAnsi="Nunito Sans"/>
          <w:color w:val="102E3B"/>
          <w:sz w:val="20"/>
          <w:szCs w:val="20"/>
        </w:rPr>
        <w:t xml:space="preserve">El Socio dará al Otorgante, al Donante Principal y a sus firmas auditoras o personas investigadoras acceso a sus registros del Proyecto, a su personal, a sus instalaciones y a los justificantes, y les permitirá hacer copias.</w:t>
      </w:r>
    </w:p>
    <w:p>
      <w:pPr>
        <w:pStyle w:val="ListParagraph"/>
        <w:numPr>
          <w:ilvl w:val="0"/>
          <w:numId w:val="13"/>
        </w:numPr>
        <w:spacing w:after="80" w:line="290"/>
      </w:pPr>
      <w:r>
        <w:rPr>
          <w:rFonts w:ascii="Nunito Sans" w:cs="Nunito Sans" w:eastAsia="Nunito Sans" w:hAnsi="Nunito Sans"/>
          <w:color w:val="102E3B"/>
          <w:sz w:val="20"/>
          <w:szCs w:val="20"/>
          <w:highlight w:val="yellow"/>
        </w:rPr>
        <w:t xml:space="preserve">[Si la Subvención supera el importe, el Socio presentará una auditoría independiente o una verificación de gastos de la Subvención en un plazo de 90 días tras el Periodo del Proyecto. Su costo está incluido en el Presupuesto Aprobado.]</w:t>
      </w:r>
    </w:p>
    <w:p>
      <w:pPr>
        <w:pStyle w:val="ListParagraph"/>
        <w:numPr>
          <w:ilvl w:val="0"/>
          <w:numId w:val="13"/>
        </w:numPr>
        <w:spacing w:after="80" w:line="290"/>
      </w:pPr>
      <w:r>
        <w:rPr>
          <w:rFonts w:ascii="Nunito Sans" w:cs="Nunito Sans" w:eastAsia="Nunito Sans" w:hAnsi="Nunito Sans"/>
          <w:color w:val="102E3B"/>
          <w:sz w:val="20"/>
          <w:szCs w:val="20"/>
        </w:rPr>
        <w:t xml:space="preserve">El Socio conservará todos los registros relativos a la Subvención durante </w:t>
      </w:r>
      <w:r>
        <w:rPr>
          <w:rFonts w:ascii="Nunito Sans" w:cs="Nunito Sans" w:eastAsia="Nunito Sans" w:hAnsi="Nunito Sans"/>
          <w:color w:val="102E3B"/>
          <w:sz w:val="20"/>
          <w:szCs w:val="20"/>
          <w:highlight w:val="yellow"/>
        </w:rPr>
        <w:t xml:space="preserve">[7]</w:t>
      </w:r>
      <w:r>
        <w:rPr>
          <w:rFonts w:ascii="Nunito Sans" w:cs="Nunito Sans" w:eastAsia="Nunito Sans" w:hAnsi="Nunito Sans"/>
          <w:color w:val="102E3B"/>
          <w:sz w:val="20"/>
          <w:szCs w:val="20"/>
        </w:rPr>
        <w:t xml:space="preserve"> años tras el final del Periodo del Proyecto, o más tiempo si el Donante Principal o la ley lo exigen.</w:t>
      </w:r>
    </w:p>
    <w:p>
      <w:pPr>
        <w:pStyle w:val="Heading2"/>
        <w:keepNext/>
        <w:spacing w:after="120" w:before="280"/>
      </w:pPr>
      <w:r>
        <w:rPr>
          <w:rFonts w:ascii="DM Serif Display" w:cs="DM Serif Display" w:eastAsia="DM Serif Display" w:hAnsi="DM Serif Display"/>
          <w:color w:val="123C48"/>
          <w:sz w:val="28"/>
          <w:szCs w:val="28"/>
        </w:rPr>
        <w:t xml:space="preserve">11. Cumplimiento normativo</w:t>
      </w:r>
    </w:p>
    <w:p>
      <w:pPr>
        <w:pStyle w:val="ListParagraph"/>
        <w:numPr>
          <w:ilvl w:val="0"/>
          <w:numId w:val="14"/>
        </w:numPr>
        <w:spacing w:after="80" w:line="290"/>
      </w:pPr>
      <w:r>
        <w:rPr>
          <w:rFonts w:ascii="Nunito Sans" w:cs="Nunito Sans" w:eastAsia="Nunito Sans" w:hAnsi="Nunito Sans"/>
          <w:b/>
          <w:bCs/>
          <w:color w:val="102E3B"/>
          <w:sz w:val="20"/>
          <w:szCs w:val="20"/>
        </w:rPr>
        <w:t xml:space="preserve">Salvaguarda.</w:t>
      </w:r>
      <w:r>
        <w:rPr>
          <w:rFonts w:ascii="Nunito Sans" w:cs="Nunito Sans" w:eastAsia="Nunito Sans" w:hAnsi="Nunito Sans"/>
          <w:color w:val="102E3B"/>
          <w:sz w:val="20"/>
          <w:szCs w:val="20"/>
        </w:rPr>
        <w:t xml:space="preserve"> El Socio tendrá y aplicará una política de salvaguarda que cubra la protección contra la explotación, el abuso y el acoso sexuales (PSEAH), siga los seis principios fundamentales del Comité Permanente entre Organismos (IASC) e incluya una vía segura para que las comunidades planteen inquietudes. Comunicará al contacto de salvaguarda del Otorgante, </w:t>
      </w:r>
      <w:r>
        <w:rPr>
          <w:rFonts w:ascii="Nunito Sans" w:cs="Nunito Sans" w:eastAsia="Nunito Sans" w:hAnsi="Nunito Sans"/>
          <w:color w:val="102E3B"/>
          <w:sz w:val="20"/>
          <w:szCs w:val="20"/>
          <w:highlight w:val="yellow"/>
        </w:rPr>
        <w:t xml:space="preserve">[nombre y correo electrónico]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cualquier inquietud relacionada con el Proyecto, su personal o su voluntariado, compartiendo solo la información necesaria y protegiendo la identidad de las personas implicadas.</w:t>
      </w:r>
    </w:p>
    <w:p>
      <w:pPr>
        <w:pStyle w:val="ListParagraph"/>
        <w:numPr>
          <w:ilvl w:val="0"/>
          <w:numId w:val="14"/>
        </w:numPr>
        <w:spacing w:after="80" w:line="290"/>
      </w:pPr>
      <w:r>
        <w:rPr>
          <w:rFonts w:ascii="Nunito Sans" w:cs="Nunito Sans" w:eastAsia="Nunito Sans" w:hAnsi="Nunito Sans"/>
          <w:b/>
          <w:bCs/>
          <w:color w:val="102E3B"/>
          <w:sz w:val="20"/>
          <w:szCs w:val="20"/>
        </w:rPr>
        <w:t xml:space="preserve">Fraude y corrupción.</w:t>
      </w:r>
      <w:r>
        <w:rPr>
          <w:rFonts w:ascii="Nunito Sans" w:cs="Nunito Sans" w:eastAsia="Nunito Sans" w:hAnsi="Nunito Sans"/>
          <w:color w:val="102E3B"/>
          <w:sz w:val="20"/>
          <w:szCs w:val="20"/>
        </w:rPr>
        <w:t xml:space="preserve"> El Socio no tolerará el fraude, el soborno ni la corrupción. Comunicará al Otorgante en un plazo de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 cualquier sospecha de fraude, robo, soborno u otro uso indebido de la Subvención, tomará medidas inmediatas para proteger los fondos y las pruebas, y cooperará con cualquier investigación. El Otorgante informará al Donante Principal según exija la Subvención Principal.</w:t>
      </w:r>
    </w:p>
    <w:p>
      <w:pPr>
        <w:pStyle w:val="ListParagraph"/>
        <w:numPr>
          <w:ilvl w:val="0"/>
          <w:numId w:val="14"/>
        </w:numPr>
        <w:spacing w:after="80" w:line="290"/>
      </w:pPr>
      <w:r>
        <w:rPr>
          <w:rFonts w:ascii="Nunito Sans" w:cs="Nunito Sans" w:eastAsia="Nunito Sans" w:hAnsi="Nunito Sans"/>
          <w:b/>
          <w:bCs/>
          <w:color w:val="102E3B"/>
          <w:sz w:val="20"/>
          <w:szCs w:val="20"/>
        </w:rPr>
        <w:t xml:space="preserve">Código de conducta.</w:t>
      </w:r>
      <w:r>
        <w:rPr>
          <w:rFonts w:ascii="Nunito Sans" w:cs="Nunito Sans" w:eastAsia="Nunito Sans" w:hAnsi="Nunito Sans"/>
          <w:color w:val="102E3B"/>
          <w:sz w:val="20"/>
          <w:szCs w:val="20"/>
        </w:rPr>
        <w:t xml:space="preserve"> El personal y el voluntariado del Socio que trabajen en el Proyecto seguirán un código de conducta al menos tan protector como </w:t>
      </w:r>
      <w:r>
        <w:rPr>
          <w:rFonts w:ascii="Nunito Sans" w:cs="Nunito Sans" w:eastAsia="Nunito Sans" w:hAnsi="Nunito Sans"/>
          <w:color w:val="102E3B"/>
          <w:sz w:val="20"/>
          <w:szCs w:val="20"/>
          <w:highlight w:val="yellow"/>
        </w:rPr>
        <w:t xml:space="preserve">[el Código de Conducta del Otorgante]</w:t>
      </w:r>
      <w:r>
        <w:rPr>
          <w:rFonts w:ascii="Nunito Sans" w:cs="Nunito Sans" w:eastAsia="Nunito Sans" w:hAnsi="Nunito Sans"/>
          <w:color w:val="102E3B"/>
          <w:sz w:val="20"/>
          <w:szCs w:val="20"/>
        </w:rPr>
        <w:t xml:space="preserve">.</w:t>
      </w:r>
    </w:p>
    <w:p>
      <w:pPr>
        <w:pStyle w:val="ListParagraph"/>
        <w:numPr>
          <w:ilvl w:val="0"/>
          <w:numId w:val="14"/>
        </w:numPr>
        <w:spacing w:after="80" w:line="290"/>
      </w:pPr>
      <w:r>
        <w:rPr>
          <w:rFonts w:ascii="Nunito Sans" w:cs="Nunito Sans" w:eastAsia="Nunito Sans" w:hAnsi="Nunito Sans"/>
          <w:b/>
          <w:bCs/>
          <w:color w:val="102E3B"/>
          <w:sz w:val="20"/>
          <w:szCs w:val="20"/>
        </w:rPr>
        <w:t xml:space="preserve">Sanciones y financiación del terrorismo.</w:t>
      </w:r>
      <w:r>
        <w:rPr>
          <w:rFonts w:ascii="Nunito Sans" w:cs="Nunito Sans" w:eastAsia="Nunito Sans" w:hAnsi="Nunito Sans"/>
          <w:color w:val="102E3B"/>
          <w:sz w:val="20"/>
          <w:szCs w:val="20"/>
        </w:rPr>
        <w:t xml:space="preserve"> El Socio no pondrá fondos ni apoyo a disposición, directa o indirectamente, de ninguna persona o entidad que figure en la Lista Consolidada del Consejo de Seguridad de las Naciones Unidas o en </w:t>
      </w:r>
      <w:r>
        <w:rPr>
          <w:rFonts w:ascii="Nunito Sans" w:cs="Nunito Sans" w:eastAsia="Nunito Sans" w:hAnsi="Nunito Sans"/>
          <w:color w:val="102E3B"/>
          <w:sz w:val="20"/>
          <w:szCs w:val="20"/>
          <w:highlight w:val="yellow"/>
        </w:rPr>
        <w:t xml:space="preserve">[las listas de la OFAC de EE. UU., de la UE, del Reino Unido u otras que exija el Donante Principal]</w:t>
      </w:r>
      <w:r>
        <w:rPr>
          <w:rFonts w:ascii="Nunito Sans" w:cs="Nunito Sans" w:eastAsia="Nunito Sans" w:hAnsi="Nunito Sans"/>
          <w:color w:val="102E3B"/>
          <w:sz w:val="20"/>
          <w:szCs w:val="20"/>
        </w:rPr>
        <w:t xml:space="preserve">. Antes de contratar, cotejará con esas listas a los miembros de su órgano de gobierno, a su personal directivo, a los proveedores por encima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y a cualquier entidad subreceptora, conservará constancia de cada comprobación e informará de inmediato al Otorgante de cualquier coincidencia.</w:t>
      </w:r>
    </w:p>
    <w:p>
      <w:pPr>
        <w:pStyle w:val="ListParagraph"/>
        <w:numPr>
          <w:ilvl w:val="0"/>
          <w:numId w:val="14"/>
        </w:numPr>
        <w:spacing w:after="80" w:line="290"/>
      </w:pPr>
      <w:r>
        <w:rPr>
          <w:rFonts w:ascii="Nunito Sans" w:cs="Nunito Sans" w:eastAsia="Nunito Sans" w:hAnsi="Nunito Sans"/>
          <w:b/>
          <w:bCs/>
          <w:color w:val="102E3B"/>
          <w:sz w:val="20"/>
          <w:szCs w:val="20"/>
        </w:rPr>
        <w:t xml:space="preserve">Protección de datos.</w:t>
      </w:r>
      <w:r>
        <w:rPr>
          <w:rFonts w:ascii="Nunito Sans" w:cs="Nunito Sans" w:eastAsia="Nunito Sans" w:hAnsi="Nunito Sans"/>
          <w:color w:val="102E3B"/>
          <w:sz w:val="20"/>
          <w:szCs w:val="20"/>
        </w:rPr>
        <w:t xml:space="preserve"> El Socio recogerá solo los datos personales que el Proyecto necesite, los mantendrá seguros y cumplirá las leyes de protección de datos aplicables, incluida </w:t>
      </w:r>
      <w:r>
        <w:rPr>
          <w:rFonts w:ascii="Nunito Sans" w:cs="Nunito Sans" w:eastAsia="Nunito Sans" w:hAnsi="Nunito Sans"/>
          <w:color w:val="102E3B"/>
          <w:sz w:val="20"/>
          <w:szCs w:val="20"/>
          <w:highlight w:val="yellow"/>
        </w:rPr>
        <w:t xml:space="preserve">[p. ej., la Uganda Data Protection and Privacy Act 2019]</w:t>
      </w:r>
      <w:r>
        <w:rPr>
          <w:rFonts w:ascii="Nunito Sans" w:cs="Nunito Sans" w:eastAsia="Nunito Sans" w:hAnsi="Nunito Sans"/>
          <w:color w:val="102E3B"/>
          <w:sz w:val="20"/>
          <w:szCs w:val="20"/>
        </w:rPr>
        <w:t xml:space="preserve">. Compartirá con el Otorgante datos personales de las personas a las que atiende solo cuando sea necesario y en virtud de un Acuerdo de Intercambio de Datos. Los informes usarán datos anonimizados, salvo que se acuerde otra cosa.</w:t>
      </w:r>
    </w:p>
    <w:p>
      <w:pPr>
        <w:pStyle w:val="ListParagraph"/>
        <w:numPr>
          <w:ilvl w:val="0"/>
          <w:numId w:val="14"/>
        </w:numPr>
        <w:spacing w:after="80" w:line="290"/>
      </w:pPr>
      <w:r>
        <w:rPr>
          <w:rFonts w:ascii="Nunito Sans" w:cs="Nunito Sans" w:eastAsia="Nunito Sans" w:hAnsi="Nunito Sans"/>
          <w:b/>
          <w:bCs/>
          <w:color w:val="102E3B"/>
          <w:sz w:val="20"/>
          <w:szCs w:val="20"/>
        </w:rPr>
        <w:t xml:space="preserve">Conflictos de interés y trabajo.</w:t>
      </w:r>
      <w:r>
        <w:rPr>
          <w:rFonts w:ascii="Nunito Sans" w:cs="Nunito Sans" w:eastAsia="Nunito Sans" w:hAnsi="Nunito Sans"/>
          <w:color w:val="102E3B"/>
          <w:sz w:val="20"/>
          <w:szCs w:val="20"/>
        </w:rPr>
        <w:t xml:space="preserve"> El Socio declarará cualquier conflicto de interés relacionado con la Subvención y no recurrirá al trabajo forzoso ni al trabajo infantil.</w:t>
      </w:r>
    </w:p>
    <w:p>
      <w:pPr>
        <w:pStyle w:val="ListParagraph"/>
        <w:numPr>
          <w:ilvl w:val="0"/>
          <w:numId w:val="14"/>
        </w:numPr>
        <w:spacing w:after="80" w:line="290"/>
      </w:pPr>
      <w:r>
        <w:rPr>
          <w:rFonts w:ascii="Nunito Sans" w:cs="Nunito Sans" w:eastAsia="Nunito Sans" w:hAnsi="Nunito Sans"/>
          <w:b/>
          <w:bCs/>
          <w:color w:val="102E3B"/>
          <w:sz w:val="20"/>
          <w:szCs w:val="20"/>
        </w:rPr>
        <w:t xml:space="preserve">Entidades subreceptoras.</w:t>
      </w:r>
      <w:r>
        <w:rPr>
          <w:rFonts w:ascii="Nunito Sans" w:cs="Nunito Sans" w:eastAsia="Nunito Sans" w:hAnsi="Nunito Sans"/>
          <w:color w:val="102E3B"/>
          <w:sz w:val="20"/>
          <w:szCs w:val="20"/>
        </w:rPr>
        <w:t xml:space="preserve"> El Socio no transferirá ninguna parte de la Subvención a otra organización sin la aprobación previa por escrito del Otorgante. Si se aprueba, trasladará por escrito las obligaciones de las cláusulas 5 a 11 y del Anexo 3.</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CONTROL DE SANCIONES Y DE FINANCIACIÓN DEL TERRORISMO</w:t>
            </w:r>
          </w:p>
          <w:p>
            <w:pPr>
              <w:spacing w:after="120" w:before="0" w:line="300"/>
            </w:pPr>
            <w:r>
              <w:rPr>
                <w:rFonts w:ascii="Nunito Sans" w:cs="Nunito Sans" w:eastAsia="Nunito Sans" w:hAnsi="Nunito Sans"/>
                <w:color w:val="102E3B"/>
                <w:sz w:val="19"/>
                <w:szCs w:val="19"/>
              </w:rPr>
              <w:t xml:space="preserve">El control debe basarse en el riesgo, como promueve la Recomendación 8 del GAFI sobre las organizaciones sin fines de lucro. Controla a las personas y organizaciones que reciben fondos o deciden cómo se usan. No controles a las personas a las que atiendes, salvo que la Subvención Principal lo exija expresamente y hayas recibido asesoramiento: puede dañar la confianza y los principios humanitarios. Desde 2022, la Resolución 2664 del Consejo de Seguridad de las Naciones Unidas ha creado una exención humanitaria a las congelaciones de activos de la ONU para la asistencia humanitaria, y algunos regímenes de sanciones nacionales y regionales han seguido su ejemplo. Comprueba qué listas y exenciones aplican tu Donante Principal y tu país, y documenta tus comprobaciones como explica la Política de Debida Diligencia de Socios y Control de Sanciones.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Visibilidad</w:t>
      </w:r>
    </w:p>
    <w:p>
      <w:pPr>
        <w:pStyle w:val="ListParagraph"/>
        <w:numPr>
          <w:ilvl w:val="0"/>
          <w:numId w:val="15"/>
        </w:numPr>
        <w:spacing w:after="80" w:line="290"/>
      </w:pPr>
      <w:r>
        <w:rPr>
          <w:rFonts w:ascii="Nunito Sans" w:cs="Nunito Sans" w:eastAsia="Nunito Sans" w:hAnsi="Nunito Sans"/>
          <w:color w:val="102E3B"/>
          <w:sz w:val="20"/>
          <w:szCs w:val="20"/>
        </w:rPr>
        <w:t xml:space="preserve">El Socio reconocerá el apoyo del Otorgante </w:t>
      </w:r>
      <w:r>
        <w:rPr>
          <w:rFonts w:ascii="Nunito Sans" w:cs="Nunito Sans" w:eastAsia="Nunito Sans" w:hAnsi="Nunito Sans"/>
          <w:color w:val="102E3B"/>
          <w:sz w:val="20"/>
          <w:szCs w:val="20"/>
          <w:highlight w:val="yellow"/>
        </w:rPr>
        <w:t xml:space="preserve">[y del Donante Principal]</w:t>
      </w:r>
      <w:r>
        <w:rPr>
          <w:rFonts w:ascii="Nunito Sans" w:cs="Nunito Sans" w:eastAsia="Nunito Sans" w:hAnsi="Nunito Sans"/>
          <w:color w:val="102E3B"/>
          <w:sz w:val="20"/>
          <w:szCs w:val="20"/>
        </w:rPr>
        <w:t xml:space="preserve"> en los materiales, eventos y publicaciones del Proyecto, según se establece en el Anexo 3.</w:t>
      </w:r>
    </w:p>
    <w:p>
      <w:pPr>
        <w:pStyle w:val="ListParagraph"/>
        <w:numPr>
          <w:ilvl w:val="0"/>
          <w:numId w:val="15"/>
        </w:numPr>
        <w:spacing w:after="80" w:line="290"/>
      </w:pPr>
      <w:r>
        <w:rPr>
          <w:rFonts w:ascii="Nunito Sans" w:cs="Nunito Sans" w:eastAsia="Nunito Sans" w:hAnsi="Nunito Sans"/>
          <w:color w:val="102E3B"/>
          <w:sz w:val="20"/>
          <w:szCs w:val="20"/>
        </w:rPr>
        <w:t xml:space="preserve">El Socio podrá decidir no mostrar logotipos cuando la visibilidad pueda poner en riesgo al personal, a los socios o a las comunidades. Informará al Otorgante de esta decisión.</w:t>
      </w:r>
    </w:p>
    <w:p>
      <w:pPr>
        <w:pStyle w:val="ListParagraph"/>
        <w:numPr>
          <w:ilvl w:val="0"/>
          <w:numId w:val="15"/>
        </w:numPr>
        <w:spacing w:after="80" w:line="290"/>
      </w:pPr>
      <w:r>
        <w:rPr>
          <w:rFonts w:ascii="Nunito Sans" w:cs="Nunito Sans" w:eastAsia="Nunito Sans" w:hAnsi="Nunito Sans"/>
          <w:color w:val="102E3B"/>
          <w:sz w:val="20"/>
          <w:szCs w:val="20"/>
        </w:rPr>
        <w:t xml:space="preserve">Ninguna de las partes usará el nombre o el logotipo de la otra salvo en lo que permita esta cláusula o con aprobación por escrito.</w:t>
      </w:r>
    </w:p>
    <w:p>
      <w:pPr>
        <w:pStyle w:val="Heading2"/>
        <w:keepNext/>
        <w:spacing w:after="120" w:before="280"/>
      </w:pPr>
      <w:r>
        <w:rPr>
          <w:rFonts w:ascii="DM Serif Display" w:cs="DM Serif Display" w:eastAsia="DM Serif Display" w:hAnsi="DM Serif Display"/>
          <w:color w:val="123C48"/>
          <w:sz w:val="28"/>
          <w:szCs w:val="28"/>
        </w:rPr>
        <w:t xml:space="preserve">13. Propiedad intelectual</w:t>
      </w:r>
    </w:p>
    <w:p>
      <w:pPr>
        <w:pStyle w:val="ListParagraph"/>
        <w:numPr>
          <w:ilvl w:val="0"/>
          <w:numId w:val="16"/>
        </w:numPr>
        <w:spacing w:after="80" w:line="290"/>
      </w:pPr>
      <w:r>
        <w:rPr>
          <w:rFonts w:ascii="Nunito Sans" w:cs="Nunito Sans" w:eastAsia="Nunito Sans" w:hAnsi="Nunito Sans"/>
          <w:color w:val="102E3B"/>
          <w:sz w:val="20"/>
          <w:szCs w:val="20"/>
        </w:rPr>
        <w:t xml:space="preserve">El Socio es titular de los materiales que crea para el Proyecto. Concede al Otorgante </w:t>
      </w:r>
      <w:r>
        <w:rPr>
          <w:rFonts w:ascii="Nunito Sans" w:cs="Nunito Sans" w:eastAsia="Nunito Sans" w:hAnsi="Nunito Sans"/>
          <w:color w:val="102E3B"/>
          <w:sz w:val="20"/>
          <w:szCs w:val="20"/>
          <w:highlight w:val="yellow"/>
        </w:rPr>
        <w:t xml:space="preserve">[y al Donante Principal]</w:t>
      </w:r>
      <w:r>
        <w:rPr>
          <w:rFonts w:ascii="Nunito Sans" w:cs="Nunito Sans" w:eastAsia="Nunito Sans" w:hAnsi="Nunito Sans"/>
          <w:color w:val="102E3B"/>
          <w:sz w:val="20"/>
          <w:szCs w:val="20"/>
        </w:rPr>
        <w:t xml:space="preserve"> una licencia gratuita, no exclusiva y permanente para usarlos, copiarlos, adaptarlos y compartirlos con fines no comerciales, mencionando al Socio.</w:t>
      </w:r>
    </w:p>
    <w:p>
      <w:pPr>
        <w:pStyle w:val="ListParagraph"/>
        <w:numPr>
          <w:ilvl w:val="0"/>
          <w:numId w:val="16"/>
        </w:numPr>
        <w:spacing w:after="80" w:line="290"/>
      </w:pPr>
      <w:r>
        <w:rPr>
          <w:rFonts w:ascii="Nunito Sans" w:cs="Nunito Sans" w:eastAsia="Nunito Sans" w:hAnsi="Nunito Sans"/>
          <w:color w:val="102E3B"/>
          <w:sz w:val="20"/>
          <w:szCs w:val="20"/>
        </w:rPr>
        <w:t xml:space="preserve">Las imágenes, historias y datos sobre personas solo podrán usarse dentro de los límites del consentimiento que dieron.</w:t>
      </w:r>
    </w:p>
    <w:p>
      <w:pPr>
        <w:pStyle w:val="Heading2"/>
        <w:keepNext/>
        <w:spacing w:after="120" w:before="280"/>
      </w:pPr>
      <w:r>
        <w:rPr>
          <w:rFonts w:ascii="DM Serif Display" w:cs="DM Serif Display" w:eastAsia="DM Serif Display" w:hAnsi="DM Serif Display"/>
          <w:color w:val="123C48"/>
          <w:sz w:val="28"/>
          <w:szCs w:val="28"/>
        </w:rPr>
        <w:t xml:space="preserve">14. Apoyo al fortalecimiento de capacidades</w:t>
      </w:r>
    </w:p>
    <w:p>
      <w:pPr>
        <w:pStyle w:val="ListParagraph"/>
        <w:numPr>
          <w:ilvl w:val="0"/>
          <w:numId w:val="17"/>
        </w:numPr>
        <w:spacing w:after="80" w:line="290"/>
      </w:pPr>
      <w:r>
        <w:rPr>
          <w:rFonts w:ascii="Nunito Sans" w:cs="Nunito Sans" w:eastAsia="Nunito Sans" w:hAnsi="Nunito Sans"/>
          <w:color w:val="102E3B"/>
          <w:sz w:val="20"/>
          <w:szCs w:val="20"/>
        </w:rPr>
        <w:t xml:space="preserve">El Otorgante prestará el apoyo descrito en el Anexo 1, como </w:t>
      </w:r>
      <w:r>
        <w:rPr>
          <w:rFonts w:ascii="Nunito Sans" w:cs="Nunito Sans" w:eastAsia="Nunito Sans" w:hAnsi="Nunito Sans"/>
          <w:color w:val="102E3B"/>
          <w:sz w:val="20"/>
          <w:szCs w:val="20"/>
          <w:highlight w:val="yellow"/>
        </w:rPr>
        <w:t xml:space="preserve">[formación, mentoría en gestión financiera o apoyo para elaborar una política de salvaguarda]</w:t>
      </w:r>
      <w:r>
        <w:rPr>
          <w:rFonts w:ascii="Nunito Sans" w:cs="Nunito Sans" w:eastAsia="Nunito Sans" w:hAnsi="Nunito Sans"/>
          <w:color w:val="102E3B"/>
          <w:sz w:val="20"/>
          <w:szCs w:val="20"/>
        </w:rPr>
        <w:t xml:space="preserve">, sin costo para el Socio.</w:t>
      </w:r>
    </w:p>
    <w:p>
      <w:pPr>
        <w:pStyle w:val="ListParagraph"/>
        <w:numPr>
          <w:ilvl w:val="0"/>
          <w:numId w:val="17"/>
        </w:numPr>
        <w:spacing w:after="80" w:line="290"/>
      </w:pPr>
      <w:r>
        <w:rPr>
          <w:rFonts w:ascii="Nunito Sans" w:cs="Nunito Sans" w:eastAsia="Nunito Sans" w:hAnsi="Nunito Sans"/>
          <w:color w:val="102E3B"/>
          <w:sz w:val="20"/>
          <w:szCs w:val="20"/>
        </w:rPr>
        <w:t xml:space="preserve">Cuando la debida diligencia o el seguimiento detecten una carencia, las partes acordarán un plan de mejora realista, con fechas y recursos. El Otorgante no suspenderá ni dará por terminada la Subvención por una carencia que el Socio esté abordando activamente conforme a ese plan, salvo que haya un riesgo grave para las personas o los fondos.</w:t>
      </w:r>
    </w:p>
    <w:p>
      <w:pPr>
        <w:pStyle w:val="Heading2"/>
        <w:keepNext/>
        <w:spacing w:after="120" w:before="280"/>
      </w:pPr>
      <w:r>
        <w:rPr>
          <w:rFonts w:ascii="DM Serif Display" w:cs="DM Serif Display" w:eastAsia="DM Serif Display" w:hAnsi="DM Serif Display"/>
          <w:color w:val="123C48"/>
          <w:sz w:val="28"/>
          <w:szCs w:val="28"/>
        </w:rPr>
        <w:t xml:space="preserve">15. Fondos no gastados y reembolsos</w:t>
      </w:r>
    </w:p>
    <w:p>
      <w:pPr>
        <w:pStyle w:val="ListParagraph"/>
        <w:numPr>
          <w:ilvl w:val="0"/>
          <w:numId w:val="18"/>
        </w:numPr>
        <w:spacing w:after="80" w:line="29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desde la aprobación por el Otorgante del informe financiero final, el Socio devolverá cualquier parte de la Subvención que no haya gastado en Costos Elegibles, salvo que el Otorgante acuerde por escrito que puede usarse para un fin acordado.</w:t>
      </w:r>
    </w:p>
    <w:p>
      <w:pPr>
        <w:pStyle w:val="ListParagraph"/>
        <w:numPr>
          <w:ilvl w:val="0"/>
          <w:numId w:val="18"/>
        </w:numPr>
        <w:spacing w:after="80" w:line="290"/>
      </w:pPr>
      <w:r>
        <w:rPr>
          <w:rFonts w:ascii="Nunito Sans" w:cs="Nunito Sans" w:eastAsia="Nunito Sans" w:hAnsi="Nunito Sans"/>
          <w:color w:val="102E3B"/>
          <w:sz w:val="20"/>
          <w:szCs w:val="20"/>
        </w:rPr>
        <w:t xml:space="preserve">El Socio reembolsará cualquier importe que el Otorgante demuestre que no es un Costo Elegible, en un plazo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desde una solicitud por escrito y motivada. El Socio podrá responder primero y aportar pruebas en un plazo de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Días Hábiles.</w:t>
      </w:r>
    </w:p>
    <w:p>
      <w:pPr>
        <w:pStyle w:val="ListParagraph"/>
        <w:numPr>
          <w:ilvl w:val="0"/>
          <w:numId w:val="18"/>
        </w:numPr>
        <w:spacing w:after="80" w:line="290"/>
      </w:pPr>
      <w:r>
        <w:rPr>
          <w:rFonts w:ascii="Nunito Sans" w:cs="Nunito Sans" w:eastAsia="Nunito Sans" w:hAnsi="Nunito Sans"/>
          <w:color w:val="102E3B"/>
          <w:sz w:val="20"/>
          <w:szCs w:val="20"/>
        </w:rPr>
        <w:t xml:space="preserve">El Otorgante podrá deducir de los tramos posteriores los importes adeudados conforme a esta cláusula, tras informar al Socio por escrito.</w:t>
      </w:r>
    </w:p>
    <w:p>
      <w:pPr>
        <w:pStyle w:val="ListParagraph"/>
        <w:numPr>
          <w:ilvl w:val="0"/>
          <w:numId w:val="18"/>
        </w:numPr>
        <w:spacing w:after="80" w:line="290"/>
      </w:pPr>
      <w:r>
        <w:rPr>
          <w:rFonts w:ascii="Nunito Sans" w:cs="Nunito Sans" w:eastAsia="Nunito Sans" w:hAnsi="Nunito Sans"/>
          <w:color w:val="102E3B"/>
          <w:sz w:val="20"/>
          <w:szCs w:val="20"/>
        </w:rPr>
        <w:t xml:space="preserve">El Otorgante no pedirá al Socio que reembolse un costo que aprobó por escrito con antelación y en el que el Socio incurrió según lo aprobado, aunque el Donante Principal lo rechace después, salvo que el Socio haya dado información falsa o incompleta. Cuando una pérdida se deba a un robo o un fraude pese a que el Socio haya cumplido este acuerdo, las partes acordarán de buena fe cómo repartirla, teniendo en cuenta lo que permita el Donante Principal.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REGLAS DE REEMBOLSO JUSTAS</w:t>
            </w:r>
          </w:p>
          <w:p>
            <w:pPr>
              <w:spacing w:after="120" w:before="0" w:line="300"/>
            </w:pPr>
            <w:r>
              <w:rPr>
                <w:rFonts w:ascii="Nunito Sans" w:cs="Nunito Sans" w:eastAsia="Nunito Sans" w:hAnsi="Nunito Sans"/>
                <w:color w:val="102E3B"/>
                <w:sz w:val="19"/>
                <w:szCs w:val="19"/>
              </w:rPr>
              <w:t xml:space="preserve">Los reembolsos son el punto en el que más a menudo se traslada el riesgo de forma injusta a los socios pequeños. La cláusula 15.4 deja en el Otorgante el riesgo de que el Donante Principal cambie de criterio, ya que fue el Otorgante quien eligió al donante y aprobó el costo. Comprueba que tu Subvención Principal lo permite y que puedes cubrir esa pérdida con fondos no restringidos. Las pérdidas por fraude del personal de un socio son una preocupación habitual de los donantes: acuerda de antemano cómo se gestionarán y documenta las medidas tomadas para prevenirlas.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16. Suspensión y terminación</w:t>
      </w:r>
    </w:p>
    <w:p>
      <w:pPr>
        <w:pStyle w:val="ListParagraph"/>
        <w:numPr>
          <w:ilvl w:val="0"/>
          <w:numId w:val="19"/>
        </w:numPr>
        <w:spacing w:after="80" w:line="290"/>
      </w:pPr>
      <w:r>
        <w:rPr>
          <w:rFonts w:ascii="Nunito Sans" w:cs="Nunito Sans" w:eastAsia="Nunito Sans" w:hAnsi="Nunito Sans"/>
          <w:color w:val="102E3B"/>
          <w:sz w:val="20"/>
          <w:szCs w:val="20"/>
        </w:rPr>
        <w:t xml:space="preserve">El Otorgante podrá suspender los pagos, o pedir al Socio que suspenda algunas actividades, mediante notificación por escrito y motivada, si:</w:t>
      </w:r>
    </w:p>
    <w:p>
      <w:pPr>
        <w:pStyle w:val="ListParagraph"/>
        <w:numPr>
          <w:ilvl w:val="1"/>
          <w:numId w:val="19"/>
        </w:numPr>
        <w:spacing w:after="80" w:line="290"/>
      </w:pPr>
      <w:r>
        <w:rPr>
          <w:rFonts w:ascii="Nunito Sans" w:cs="Nunito Sans" w:eastAsia="Nunito Sans" w:hAnsi="Nunito Sans"/>
          <w:color w:val="102E3B"/>
          <w:sz w:val="20"/>
          <w:szCs w:val="20"/>
        </w:rPr>
        <w:t xml:space="preserve">tiene una sospecha razonable de fraude, corrupción o un fallo grave de salvaguarda;</w:t>
      </w:r>
    </w:p>
    <w:p>
      <w:pPr>
        <w:pStyle w:val="ListParagraph"/>
        <w:numPr>
          <w:ilvl w:val="1"/>
          <w:numId w:val="19"/>
        </w:numPr>
        <w:spacing w:after="80" w:line="290"/>
      </w:pPr>
      <w:r>
        <w:rPr>
          <w:rFonts w:ascii="Nunito Sans" w:cs="Nunito Sans" w:eastAsia="Nunito Sans" w:hAnsi="Nunito Sans"/>
          <w:color w:val="102E3B"/>
          <w:sz w:val="20"/>
          <w:szCs w:val="20"/>
        </w:rPr>
        <w:t xml:space="preserve">un informe exigido lleva más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de retraso, tras un recordatorio por escrito; o</w:t>
      </w:r>
    </w:p>
    <w:p>
      <w:pPr>
        <w:pStyle w:val="ListParagraph"/>
        <w:numPr>
          <w:ilvl w:val="1"/>
          <w:numId w:val="19"/>
        </w:numPr>
        <w:spacing w:after="80" w:line="290"/>
      </w:pPr>
      <w:r>
        <w:rPr>
          <w:rFonts w:ascii="Nunito Sans" w:cs="Nunito Sans" w:eastAsia="Nunito Sans" w:hAnsi="Nunito Sans"/>
          <w:color w:val="102E3B"/>
          <w:sz w:val="20"/>
          <w:szCs w:val="20"/>
        </w:rPr>
        <w:t xml:space="preserve">el Donante Principal suspende la Subvención Principal.</w:t>
      </w:r>
    </w:p>
    <w:p>
      <w:pPr>
        <w:pStyle w:val="ListParagraph"/>
        <w:numPr>
          <w:ilvl w:val="0"/>
          <w:numId w:val="19"/>
        </w:numPr>
        <w:spacing w:after="80" w:line="290"/>
      </w:pPr>
      <w:r>
        <w:rPr>
          <w:rFonts w:ascii="Nunito Sans" w:cs="Nunito Sans" w:eastAsia="Nunito Sans" w:hAnsi="Nunito Sans"/>
          <w:color w:val="102E3B"/>
          <w:sz w:val="20"/>
          <w:szCs w:val="20"/>
        </w:rPr>
        <w:t xml:space="preserve">Cualquiera de las partes podrá dar por terminado este acuerdo mediante notificación por escrito si la otra comete un incumplimiento sustancial y no lo subsana en un plazo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desde una notificación por escrito que lo describa. El Otorgante podrá darlo por terminado de inmediato si se confirma un fraude, corrupción o una falta grave de conducta, o conforme a la cláusula 3.4.</w:t>
      </w:r>
    </w:p>
    <w:p>
      <w:pPr>
        <w:pStyle w:val="ListParagraph"/>
        <w:numPr>
          <w:ilvl w:val="0"/>
          <w:numId w:val="19"/>
        </w:numPr>
        <w:spacing w:after="80" w:line="290"/>
      </w:pPr>
      <w:r>
        <w:rPr>
          <w:rFonts w:ascii="Nunito Sans" w:cs="Nunito Sans" w:eastAsia="Nunito Sans" w:hAnsi="Nunito Sans"/>
          <w:color w:val="102E3B"/>
          <w:sz w:val="20"/>
          <w:szCs w:val="20"/>
        </w:rPr>
        <w:t xml:space="preserve">El Socio podrá dar por terminado este acuerdo con un preaviso por escrito de </w:t>
      </w:r>
      <w:r>
        <w:rPr>
          <w:rFonts w:ascii="Nunito Sans" w:cs="Nunito Sans" w:eastAsia="Nunito Sans" w:hAnsi="Nunito Sans"/>
          <w:color w:val="102E3B"/>
          <w:sz w:val="20"/>
          <w:szCs w:val="20"/>
          <w:highlight w:val="yellow"/>
        </w:rPr>
        <w:t xml:space="preserve">[60]</w:t>
      </w:r>
      <w:r>
        <w:rPr>
          <w:rFonts w:ascii="Nunito Sans" w:cs="Nunito Sans" w:eastAsia="Nunito Sans" w:hAnsi="Nunito Sans"/>
          <w:color w:val="102E3B"/>
          <w:sz w:val="20"/>
          <w:szCs w:val="20"/>
        </w:rPr>
        <w:t xml:space="preserve"> días.</w:t>
      </w:r>
    </w:p>
    <w:p>
      <w:pPr>
        <w:pStyle w:val="ListParagraph"/>
        <w:numPr>
          <w:ilvl w:val="0"/>
          <w:numId w:val="19"/>
        </w:numPr>
        <w:spacing w:after="80" w:line="290"/>
      </w:pPr>
      <w:r>
        <w:rPr>
          <w:rFonts w:ascii="Nunito Sans" w:cs="Nunito Sans" w:eastAsia="Nunito Sans" w:hAnsi="Nunito Sans"/>
          <w:color w:val="102E3B"/>
          <w:sz w:val="20"/>
          <w:szCs w:val="20"/>
        </w:rPr>
        <w:t xml:space="preserve">Cualquiera de las partes podrá dar por terminado este acuerdo si hechos ajenos al control de ambas, como un conflicto o una catástrofe natural, impiden el Proyecto durante más de </w:t>
      </w:r>
      <w:r>
        <w:rPr>
          <w:rFonts w:ascii="Nunito Sans" w:cs="Nunito Sans" w:eastAsia="Nunito Sans" w:hAnsi="Nunito Sans"/>
          <w:color w:val="102E3B"/>
          <w:sz w:val="20"/>
          <w:szCs w:val="20"/>
          <w:highlight w:val="yellow"/>
        </w:rPr>
        <w:t xml:space="preserve">[60]</w:t>
      </w:r>
      <w:r>
        <w:rPr>
          <w:rFonts w:ascii="Nunito Sans" w:cs="Nunito Sans" w:eastAsia="Nunito Sans" w:hAnsi="Nunito Sans"/>
          <w:color w:val="102E3B"/>
          <w:sz w:val="20"/>
          <w:szCs w:val="20"/>
        </w:rPr>
        <w:t xml:space="preserve"> días.</w:t>
      </w:r>
    </w:p>
    <w:p>
      <w:pPr>
        <w:pStyle w:val="ListParagraph"/>
        <w:numPr>
          <w:ilvl w:val="0"/>
          <w:numId w:val="19"/>
        </w:numPr>
        <w:spacing w:after="80" w:line="290"/>
      </w:pPr>
      <w:r>
        <w:rPr>
          <w:rFonts w:ascii="Nunito Sans" w:cs="Nunito Sans" w:eastAsia="Nunito Sans" w:hAnsi="Nunito Sans"/>
          <w:color w:val="102E3B"/>
          <w:sz w:val="20"/>
          <w:szCs w:val="20"/>
        </w:rPr>
        <w:t xml:space="preserve">Cuando este acuerdo termine, el Socio dejará de asumir nuevos compromisos, enviará los informes finales en un plazo de </w:t>
      </w:r>
      <w:r>
        <w:rPr>
          <w:rFonts w:ascii="Nunito Sans" w:cs="Nunito Sans" w:eastAsia="Nunito Sans" w:hAnsi="Nunito Sans"/>
          <w:color w:val="102E3B"/>
          <w:sz w:val="20"/>
          <w:szCs w:val="20"/>
          <w:highlight w:val="yellow"/>
        </w:rPr>
        <w:t xml:space="preserve">[45]</w:t>
      </w:r>
      <w:r>
        <w:rPr>
          <w:rFonts w:ascii="Nunito Sans" w:cs="Nunito Sans" w:eastAsia="Nunito Sans" w:hAnsi="Nunito Sans"/>
          <w:color w:val="102E3B"/>
          <w:sz w:val="20"/>
          <w:szCs w:val="20"/>
        </w:rPr>
        <w:t xml:space="preserve"> días y devolverá los fondos no gastados conforme a la cláusula 15. El Otorgante pagará los Costos Elegibles debidamente incurridos o comprometidos antes de la notificación, incluidos los costos razonables de cierre del Proyecto, como los periodos de preaviso del personal exigidos por la ley, en la medida en que el Donante Principal lo permita.</w:t>
      </w:r>
    </w:p>
    <w:p>
      <w:pPr>
        <w:pStyle w:val="ListParagraph"/>
        <w:numPr>
          <w:ilvl w:val="0"/>
          <w:numId w:val="19"/>
        </w:numPr>
        <w:spacing w:after="80" w:line="290"/>
      </w:pPr>
      <w:r>
        <w:rPr>
          <w:rFonts w:ascii="Nunito Sans" w:cs="Nunito Sans" w:eastAsia="Nunito Sans" w:hAnsi="Nunito Sans"/>
          <w:color w:val="102E3B"/>
          <w:sz w:val="20"/>
          <w:szCs w:val="20"/>
        </w:rPr>
        <w:t xml:space="preserve">Ambas partes acordarán un plan de salida para informar a las comunidades de lo que sucederá y, cuando sea posible, transferir o cerrar de forma responsable las actividades.</w:t>
      </w:r>
    </w:p>
    <w:p>
      <w:pPr>
        <w:pStyle w:val="ListParagraph"/>
        <w:numPr>
          <w:ilvl w:val="0"/>
          <w:numId w:val="19"/>
        </w:numPr>
        <w:spacing w:after="80" w:line="290"/>
      </w:pPr>
      <w:r>
        <w:rPr>
          <w:rFonts w:ascii="Nunito Sans" w:cs="Nunito Sans" w:eastAsia="Nunito Sans" w:hAnsi="Nunito Sans"/>
          <w:color w:val="102E3B"/>
          <w:sz w:val="20"/>
          <w:szCs w:val="20"/>
        </w:rPr>
        <w:t xml:space="preserve">Las cláusulas 10, 11, 13, 15, 16.5, 16.6 y 17 siguen vigentes tras la terminación de este acuerdo.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TERMINAR DE FORMA JUSTA</w:t>
            </w:r>
          </w:p>
          <w:p>
            <w:pPr>
              <w:spacing w:after="120" w:before="0" w:line="300"/>
            </w:pPr>
            <w:r>
              <w:rPr>
                <w:rFonts w:ascii="Nunito Sans" w:cs="Nunito Sans" w:eastAsia="Nunito Sans" w:hAnsi="Nunito Sans"/>
                <w:color w:val="102E3B"/>
                <w:sz w:val="19"/>
                <w:szCs w:val="19"/>
              </w:rPr>
              <w:t xml:space="preserve">La suspensión es una medida de protección, no una constatación de irregularidades: dilo en cualquier notificación y mantenla lo más breve posible. La legislación laboral local puede exigir costos de cierre, como las indemnizaciones del personal: comprueba lo que permite el Donante Principal e inclúyelo en el presupuesto. Algunos países exigen procedimientos específicos para extinguir los contratos del personal. Revisa la ley local del Socio.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17. Responsabilidad, controversias y disposiciones generales</w:t>
      </w:r>
    </w:p>
    <w:p>
      <w:pPr>
        <w:pStyle w:val="ListParagraph"/>
        <w:numPr>
          <w:ilvl w:val="0"/>
          <w:numId w:val="20"/>
        </w:numPr>
        <w:spacing w:after="80" w:line="290"/>
      </w:pPr>
      <w:r>
        <w:rPr>
          <w:rFonts w:ascii="Nunito Sans" w:cs="Nunito Sans" w:eastAsia="Nunito Sans" w:hAnsi="Nunito Sans"/>
          <w:color w:val="102E3B"/>
          <w:sz w:val="20"/>
          <w:szCs w:val="20"/>
        </w:rPr>
        <w:t xml:space="preserve">El Socio es responsable de su personal, su voluntariado, sus actividades y el cumplimiento de la ley. Ninguna de las partes es responsable ante la otra por pérdidas indirectas o consecuentes.</w:t>
      </w:r>
    </w:p>
    <w:p>
      <w:pPr>
        <w:pStyle w:val="ListParagraph"/>
        <w:numPr>
          <w:ilvl w:val="0"/>
          <w:numId w:val="20"/>
        </w:numPr>
        <w:spacing w:after="80" w:line="290"/>
      </w:pPr>
      <w:r>
        <w:rPr>
          <w:rFonts w:ascii="Nunito Sans" w:cs="Nunito Sans" w:eastAsia="Nunito Sans" w:hAnsi="Nunito Sans"/>
          <w:color w:val="102E3B"/>
          <w:sz w:val="20"/>
          <w:szCs w:val="20"/>
        </w:rPr>
        <w:t xml:space="preserve">Las partes intentarán resolver cualquier controversia a través de sus responsables de la subvención y del proyecto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y, después, entre </w:t>
      </w:r>
      <w:r>
        <w:rPr>
          <w:rFonts w:ascii="Nunito Sans" w:cs="Nunito Sans" w:eastAsia="Nunito Sans" w:hAnsi="Nunito Sans"/>
          <w:color w:val="102E3B"/>
          <w:sz w:val="20"/>
          <w:szCs w:val="20"/>
          <w:highlight w:val="yellow"/>
        </w:rPr>
        <w:t xml:space="preserve">[las personas que dirigen ambas organizaciones]</w:t>
      </w:r>
      <w:r>
        <w:rPr>
          <w:rFonts w:ascii="Nunito Sans" w:cs="Nunito Sans" w:eastAsia="Nunito Sans" w:hAnsi="Nunito Sans"/>
          <w:color w:val="102E3B"/>
          <w:sz w:val="20"/>
          <w:szCs w:val="20"/>
        </w:rPr>
        <w:t xml:space="preserve"> en un plazo adicional de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Días Hábiles. Si no lo logran, considerarán la mediación a través de </w:t>
      </w:r>
      <w:r>
        <w:rPr>
          <w:rFonts w:ascii="Nunito Sans" w:cs="Nunito Sans" w:eastAsia="Nunito Sans" w:hAnsi="Nunito Sans"/>
          <w:color w:val="102E3B"/>
          <w:sz w:val="20"/>
          <w:szCs w:val="20"/>
          <w:highlight w:val="yellow"/>
        </w:rPr>
        <w:t xml:space="preserve">[mediador o centro]</w:t>
      </w:r>
      <w:r>
        <w:rPr>
          <w:rFonts w:ascii="Nunito Sans" w:cs="Nunito Sans" w:eastAsia="Nunito Sans" w:hAnsi="Nunito Sans"/>
          <w:color w:val="102E3B"/>
          <w:sz w:val="20"/>
          <w:szCs w:val="20"/>
        </w:rPr>
        <w:t xml:space="preserve"> antes de acudir a </w:t>
      </w:r>
      <w:r>
        <w:rPr>
          <w:rFonts w:ascii="Nunito Sans" w:cs="Nunito Sans" w:eastAsia="Nunito Sans" w:hAnsi="Nunito Sans"/>
          <w:color w:val="102E3B"/>
          <w:sz w:val="20"/>
          <w:szCs w:val="20"/>
          <w:highlight w:val="yellow"/>
        </w:rPr>
        <w:t xml:space="preserve">[los tribunales del país / un arbitraje conforme al reglamento de la institución]</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Este acuerdo se rige por la ley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Las notificaciones deben hacerse por escrito y enviarse por correo electrónico a los contactos que figuran en la tabla de Partes. Las notificaciones de suspensión o terminación deben enviarse además por </w:t>
      </w:r>
      <w:r>
        <w:rPr>
          <w:rFonts w:ascii="Nunito Sans" w:cs="Nunito Sans" w:eastAsia="Nunito Sans" w:hAnsi="Nunito Sans"/>
          <w:color w:val="102E3B"/>
          <w:sz w:val="20"/>
          <w:szCs w:val="20"/>
          <w:highlight w:val="yellow"/>
        </w:rPr>
        <w:t xml:space="preserve">[mensajería / entrega en mano]</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Este acuerdo constituye el acuerdo íntegro sobre la Subvención. Las modificaciones solo son válidas por escrito y firmadas por ambas partes, salvo los cambios presupuestarios conforme a la cláusula 8.1. Ninguna de las partes podrá cederlo sin el consentimiento de la otra. Si alguna parte es inválida, el resto sigue vigente.</w:t>
      </w:r>
    </w:p>
    <w:p>
      <w:pPr>
        <w:pStyle w:val="ListParagraph"/>
        <w:numPr>
          <w:ilvl w:val="0"/>
          <w:numId w:val="20"/>
        </w:numPr>
        <w:spacing w:after="80" w:line="290"/>
      </w:pPr>
      <w:r>
        <w:rPr>
          <w:rFonts w:ascii="Nunito Sans" w:cs="Nunito Sans" w:eastAsia="Nunito Sans" w:hAnsi="Nunito Sans"/>
          <w:color w:val="102E3B"/>
          <w:sz w:val="20"/>
          <w:szCs w:val="20"/>
        </w:rPr>
        <w:t xml:space="preserve">Este acuerdo puede firmarse en varios ejemplares y de forma electrónica. Si se traduce, prevalece la versión en </w:t>
      </w:r>
      <w:r>
        <w:rPr>
          <w:rFonts w:ascii="Nunito Sans" w:cs="Nunito Sans" w:eastAsia="Nunito Sans" w:hAnsi="Nunito Sans"/>
          <w:color w:val="102E3B"/>
          <w:sz w:val="20"/>
          <w:szCs w:val="20"/>
          <w:highlight w:val="yellow"/>
        </w:rPr>
        <w:t xml:space="preserve">[español]</w:t>
      </w:r>
      <w:r>
        <w:rPr>
          <w:rFonts w:ascii="Nunito Sans" w:cs="Nunito Sans" w:eastAsia="Nunito Sans" w:hAnsi="Nunito Sans"/>
          <w:color w:val="102E3B"/>
          <w:sz w:val="20"/>
          <w:szCs w:val="20"/>
        </w:rPr>
        <w:t xml:space="preserve">.</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1: Resumen del Proyecto y Presupuesto Aprobado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DETALLES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Título del proyecto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[Título]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Ubicación</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[Distritos, localidades o regiones]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Objetivo y resultados previstos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400 jóvenes completan una formación profesional; el 60 % tiene empleo o trabaja por cuenta propia en un plazo de 6 meses]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atendidas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[Quiénes, cuántas, cómo se seleccionan]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Actividades principales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[Lista, o adjuntar la propuesta de proyecto del Socio]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Apoyo al fortalecimiento de capacidades del Otorgante</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dos sesiones de mentoría financiera; apoyo para actualizar la política de salvaguarda]</w:t>
            </w:r>
          </w:p>
        </w:tc>
      </w:tr>
    </w:tbl>
    <w:p>
      <w:pPr>
        <w:spacing w:after="120"/>
      </w:pPr>
    </w:p>
    <w:p>
      <w:pPr>
        <w:spacing w:after="120" w:before="0" w:line="300"/>
      </w:pPr>
      <w:r>
        <w:rPr>
          <w:rFonts w:ascii="Nunito Sans" w:cs="Nunito Sans" w:eastAsia="Nunito Sans" w:hAnsi="Nunito Sans"/>
          <w:color w:val="102E3B"/>
          <w:sz w:val="20"/>
          <w:szCs w:val="20"/>
        </w:rPr>
        <w:t xml:space="preserve">Resumen del presupuesto (adjuntar el presupuesto detallado):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1904"/>
        <w:gridCol w:w="1904"/>
        <w:gridCol w:w="1907"/>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PARTIDA PRESUPUESTARIA</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AÑO 1</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AÑO 2</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TOTAL</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 Personal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 Actividades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Equipos y suministros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 Seguimiento, auditoría y aprendizaje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 Costos indirectos (</w:t>
            </w:r>
            <w:r>
              <w:rPr>
                <w:rFonts w:ascii="Nunito Sans" w:cs="Nunito Sans" w:eastAsia="Nunito Sans" w:hAnsi="Nunito Sans"/>
                <w:color w:val="102E3B"/>
                <w:sz w:val="18"/>
                <w:szCs w:val="18"/>
                <w:highlight w:val="yellow"/>
              </w:rPr>
              <w:t xml:space="preserve">[X]</w:t>
            </w:r>
            <w:r>
              <w:rPr>
                <w:rFonts w:ascii="Nunito Sans" w:cs="Nunito Sans" w:eastAsia="Nunito Sans" w:hAnsi="Nunito Sans"/>
                <w:color w:val="102E3B"/>
                <w:sz w:val="18"/>
                <w:szCs w:val="18"/>
              </w:rPr>
              <w:t xml:space="preserve"> %)</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Total de la Subvención</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2: Pagos e informes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857"/>
        <w:gridCol w:w="2381"/>
        <w:gridCol w:w="2382"/>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TRAMO</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CONDICIÓN</w:t>
            </w:r>
          </w:p>
        </w:tc>
        <w:tc>
          <w:tcPr>
            <w:tcW w:type="dxa" w:w="238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 PREVISTA</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 (p. ej., 40 %)]</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Firma y datos bancarios</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 (p. ej., 30 %)]</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Aprobación de los informes del periodo 1; </w:t>
            </w:r>
            <w:r>
              <w:rPr>
                <w:rFonts w:ascii="Nunito Sans" w:cs="Nunito Sans" w:eastAsia="Nunito Sans" w:hAnsi="Nunito Sans"/>
                <w:color w:val="102E3B"/>
                <w:sz w:val="18"/>
                <w:szCs w:val="18"/>
                <w:highlight w:val="yellow"/>
              </w:rPr>
              <w:t xml:space="preserve">[70]</w:t>
            </w:r>
            <w:r>
              <w:rPr>
                <w:rFonts w:ascii="Nunito Sans" w:cs="Nunito Sans" w:eastAsia="Nunito Sans" w:hAnsi="Nunito Sans"/>
                <w:color w:val="102E3B"/>
                <w:sz w:val="18"/>
                <w:szCs w:val="18"/>
              </w:rPr>
              <w:t xml:space="preserve"> % gastado o comprometido</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 (p. ej., 30 %)]</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Aprobación de los informes del periodo 2</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2381"/>
        <w:gridCol w:w="428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INFORME</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c>
          <w:tcPr>
            <w:tcW w:type="dxa" w:w="428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CONTENIDO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Informe narrativo y financiero</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[15]</w:t>
            </w:r>
            <w:r>
              <w:rPr>
                <w:rFonts w:ascii="Nunito Sans" w:cs="Nunito Sans" w:eastAsia="Nunito Sans" w:hAnsi="Nunito Sans"/>
                <w:color w:val="102E3B"/>
                <w:sz w:val="18"/>
                <w:szCs w:val="18"/>
              </w:rPr>
              <w:t xml:space="preserve"> días después de cada </w:t>
            </w:r>
            <w:r>
              <w:rPr>
                <w:rFonts w:ascii="Nunito Sans" w:cs="Nunito Sans" w:eastAsia="Nunito Sans" w:hAnsi="Nunito Sans"/>
                <w:color w:val="102E3B"/>
                <w:sz w:val="18"/>
                <w:szCs w:val="18"/>
                <w:highlight w:val="yellow"/>
              </w:rPr>
              <w:t xml:space="preserve">[trimestre / semestre]</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Avances, gasto por partida, desviaciones, riesgos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Informe narrativo y financiero final</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[45]</w:t>
            </w:r>
            <w:r>
              <w:rPr>
                <w:rFonts w:ascii="Nunito Sans" w:cs="Nunito Sans" w:eastAsia="Nunito Sans" w:hAnsi="Nunito Sans"/>
                <w:color w:val="102E3B"/>
                <w:sz w:val="18"/>
                <w:szCs w:val="18"/>
              </w:rPr>
              <w:t xml:space="preserve"> días después del Periodo del Proyecto</w:t>
            </w:r>
          </w:p>
        </w:tc>
        <w:tc>
          <w:tcPr>
            <w:tcW w:type="dxa" w:w="4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Resultados, lecciones, cuentas finales, registro de equipos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Informes de incidentes</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los plazos de la cláusula 11</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Salvaguarda, fraude, seguridad</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[Auditoría o verificación de gastos]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[90]</w:t>
            </w:r>
            <w:r>
              <w:rPr>
                <w:rFonts w:ascii="Nunito Sans" w:cs="Nunito Sans" w:eastAsia="Nunito Sans" w:hAnsi="Nunito Sans"/>
                <w:color w:val="102E3B"/>
                <w:sz w:val="18"/>
                <w:szCs w:val="18"/>
              </w:rPr>
              <w:t xml:space="preserve"> días después del Periodo del Proyecto</w:t>
            </w:r>
          </w:p>
        </w:tc>
        <w:tc>
          <w:tcPr>
            <w:tcW w:type="dxa" w:w="4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la cláusula 10.3</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3: Condiciones del Donante Principal</w:t>
      </w:r>
    </w:p>
    <w:p>
      <w:pPr>
        <w:spacing w:after="120" w:before="0" w:line="300"/>
      </w:pPr>
      <w:r>
        <w:rPr>
          <w:rFonts w:ascii="Nunito Sans" w:cs="Nunito Sans" w:eastAsia="Nunito Sans" w:hAnsi="Nunito Sans"/>
          <w:color w:val="102E3B"/>
          <w:sz w:val="20"/>
          <w:szCs w:val="20"/>
        </w:rPr>
        <w:t xml:space="preserve">Subvención Principal: </w:t>
      </w:r>
      <w:r>
        <w:rPr>
          <w:rFonts w:ascii="Nunito Sans" w:cs="Nunito Sans" w:eastAsia="Nunito Sans" w:hAnsi="Nunito Sans"/>
          <w:color w:val="102E3B"/>
          <w:sz w:val="20"/>
          <w:szCs w:val="20"/>
          <w:highlight w:val="yellow"/>
        </w:rPr>
        <w:t xml:space="preserve">[nombre del Donante Principal]</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[referencia de la subvención]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[título]</w:t>
      </w:r>
      <w:r>
        <w:rPr>
          <w:rFonts w:ascii="Nunito Sans" w:cs="Nunito Sans" w:eastAsia="Nunito Sans" w:hAnsi="Nunito Sans"/>
          <w:color w:val="102E3B"/>
          <w:sz w:val="20"/>
          <w:szCs w:val="20"/>
        </w:rPr>
        <w:t xml:space="preserve">, de fecha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Las siguientes condiciones de la Subvención Principal se aplican al Socio. Se han copiado de la Subvención Principal sin cambios. Cuando se refieran a </w:t>
      </w:r>
      <w:r>
        <w:rPr>
          <w:rFonts w:ascii="Nunito Sans" w:cs="Nunito Sans" w:eastAsia="Nunito Sans" w:hAnsi="Nunito Sans"/>
          <w:color w:val="102E3B"/>
          <w:sz w:val="20"/>
          <w:szCs w:val="20"/>
          <w:highlight w:val="yellow"/>
        </w:rPr>
        <w:t xml:space="preserve">[el término que usa el donante para el receptor, p. ej., "el Beneficiario"]</w:t>
      </w:r>
      <w:r>
        <w:rPr>
          <w:rFonts w:ascii="Nunito Sans" w:cs="Nunito Sans" w:eastAsia="Nunito Sans" w:hAnsi="Nunito Sans"/>
          <w:color w:val="102E3B"/>
          <w:sz w:val="20"/>
          <w:szCs w:val="20"/>
        </w:rPr>
        <w:t xml:space="preserve">, se entenderá el Otorgante, y cuando se refieran a </w:t>
      </w:r>
      <w:r>
        <w:rPr>
          <w:rFonts w:ascii="Nunito Sans" w:cs="Nunito Sans" w:eastAsia="Nunito Sans" w:hAnsi="Nunito Sans"/>
          <w:color w:val="102E3B"/>
          <w:sz w:val="20"/>
          <w:szCs w:val="20"/>
          <w:highlight w:val="yellow"/>
        </w:rPr>
        <w:t xml:space="preserve">[el término que usa el donante para las entidades subreceptoras]</w:t>
      </w:r>
      <w:r>
        <w:rPr>
          <w:rFonts w:ascii="Nunito Sans" w:cs="Nunito Sans" w:eastAsia="Nunito Sans" w:hAnsi="Nunito Sans"/>
          <w:color w:val="102E3B"/>
          <w:sz w:val="20"/>
          <w:szCs w:val="20"/>
        </w:rPr>
        <w:t xml:space="preserve">, se entenderá el Socio.</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[Número de cláusula y texto completo: elegibilidad de los costos]</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[Número de cláusula y texto completo: compras y reglas de nacionalidad u origen]</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[Número de cláusula y texto completo: auditoría, acceso y conservación de registros]</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[Número de cláusula y texto completo: lucha contra el terrorismo, sanciones y partes prohibidas]</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[Número de cláusula y texto completo: salvaguarda y notificación en materia de PSEAH]</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[Número de cláusula y texto completo: reglas de visibilidad y de marca]</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[Número de cláusula y texto completo: notificación de irregularidades y fraude]</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[Cualquier otra cláusula de traslado obligatorio]</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Firmas</w:t>
      </w:r>
    </w:p>
    <w:p>
      <w:pPr>
        <w:spacing w:after="120" w:before="0" w:line="300"/>
      </w:pPr>
      <w:r>
        <w:rPr>
          <w:rFonts w:ascii="Nunito Sans" w:cs="Nunito Sans" w:eastAsia="Nunito Sans" w:hAnsi="Nunito Sans"/>
          <w:color w:val="102E3B"/>
          <w:sz w:val="20"/>
          <w:szCs w:val="20"/>
        </w:rPr>
        <w:t xml:space="preserve">Firmado por los representantes autorizados de las partes en las fechas indicadas a continuación.</w:t>
      </w:r>
    </w:p>
    <w:p>
      <w:pPr>
        <w:keepNext/>
        <w:spacing w:after="80" w:before="120"/>
      </w:pPr>
      <w:r>
        <w:rPr>
          <w:rFonts w:ascii="Nunito Sans" w:cs="Nunito Sans" w:eastAsia="Nunito Sans" w:hAnsi="Nunito Sans"/>
          <w:b/>
          <w:bCs/>
          <w:color w:val="16746E"/>
          <w:spacing w:val="30"/>
          <w:sz w:val="15"/>
          <w:szCs w:val="15"/>
        </w:rPr>
        <w:t xml:space="preserve">POR EL OTORGANTE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POR EL SOCIO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legal del Socio]</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F7715DF7-973C-60F9-99F4-77853AB0FF5D}"/>
  </w:font>
  <w:font w:name="DM Serif Display">
    <w:family w:val="auto"/>
    <w:pitch w:val="variable"/>
    <w:sig w:usb0="E0002AFF" w:usb1="C000247B" w:usb2="00000009" w:usb3="00000000" w:csb0="000001FF" w:csb1="00000000"/>
    <w:embedRegular r:id="rId2" w:fontKey="{8C90B102-093E-0BFB-4AF7-17D488195EA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Acuerdo de Subvención a Socios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ACUERDO DE SUBVENCIÓN A SOCIOS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Subvención a Socios</dc:title>
  <dc:creator>Method into Impact</dc:creator>
  <dc:description>El acuerdo que [[Nombre de la organización]] firma cuando transfiere fondos de una subvención a una organización socia para ejecutar un proyecto. Cubre el presupuesto, los pagos por tramos, los informes, las condiciones del donante principal, el cumplimiento normativo y el destino de los fondos no gastados.</dc:description>
  <cp:lastModifiedBy>Un-named</cp:lastModifiedBy>
  <cp:revision>1</cp:revision>
  <dcterms:created xsi:type="dcterms:W3CDTF">2026-10-29T06:01:46.389Z</dcterms:created>
  <dcterms:modified xsi:type="dcterms:W3CDTF">2026-10-29T06:01:46.389Z</dcterms:modified>
</cp:coreProperties>
</file>

<file path=docProps/custom.xml><?xml version="1.0" encoding="utf-8"?>
<Properties xmlns="http://schemas.openxmlformats.org/officeDocument/2006/custom-properties" xmlns:vt="http://schemas.openxmlformats.org/officeDocument/2006/docPropsVTypes"/>
</file>