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Mining Assignment-2</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Fast Rates For Support Vector Machines Using Gaussian Kernels</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Bindu (IIT2018105)</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Vikash(IIT2018110)</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Ayushi Gupta(IIT2018118)</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Sanjana(IIT2018120)</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TS. Chinmay(IIT2018138)</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numPr>
          <w:ilvl w:val="0"/>
          <w:numId w:val="2"/>
        </w:numPr>
        <w:ind w:left="720" w:hanging="36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Abstract - </w:t>
      </w:r>
    </w:p>
    <w:p w:rsidR="00000000" w:rsidDel="00000000" w:rsidP="00000000" w:rsidRDefault="00000000" w:rsidRPr="00000000" w14:paraId="0000000C">
      <w:pPr>
        <w:ind w:left="72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recent years support vector machines (SVMs) have been the subject of many theoretical considerations. Despite this effort, their learning performance on restricted classes of distributions is still widely unknown. In particular, it is unknown under which non trivial circumstances SVMs can guarantee fast learning rates. The aim of this work is to use concepts like Tsybakov’s noise assumption and local Rademacher averages to establish learning rates up to the order of n</w:t>
      </w:r>
      <w:r w:rsidDel="00000000" w:rsidR="00000000" w:rsidRPr="00000000">
        <w:rPr>
          <w:rFonts w:ascii="Gungsuh" w:cs="Gungsuh" w:eastAsia="Gungsuh" w:hAnsi="Gungsuh"/>
          <w:sz w:val="28"/>
          <w:szCs w:val="28"/>
          <w:vertAlign w:val="superscript"/>
          <w:rtl w:val="0"/>
        </w:rPr>
        <w:t xml:space="preserve">−1 </w:t>
      </w:r>
      <w:r w:rsidDel="00000000" w:rsidR="00000000" w:rsidRPr="00000000">
        <w:rPr>
          <w:rFonts w:ascii="Times New Roman" w:cs="Times New Roman" w:eastAsia="Times New Roman" w:hAnsi="Times New Roman"/>
          <w:sz w:val="28"/>
          <w:szCs w:val="28"/>
          <w:rtl w:val="0"/>
        </w:rPr>
        <w:t xml:space="preserve">for nontrivial distributions. In Addition to these concepts that are used to deal with the stochastic part of the analysis we also introduce a geometric assumption for distributions thatallows us to estimate the approximation properties of Gaussian RBF kernels.</w:t>
      </w:r>
    </w:p>
    <w:p w:rsidR="00000000" w:rsidDel="00000000" w:rsidP="00000000" w:rsidRDefault="00000000" w:rsidRPr="00000000" w14:paraId="0000000E">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numPr>
          <w:ilvl w:val="0"/>
          <w:numId w:val="2"/>
        </w:numPr>
        <w:ind w:left="720" w:hanging="36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Introduction - </w:t>
      </w:r>
    </w:p>
    <w:p w:rsidR="00000000" w:rsidDel="00000000" w:rsidP="00000000" w:rsidRDefault="00000000" w:rsidRPr="00000000" w14:paraId="0000001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rate is a significant factor for execution estimating in various distributions. We need to know specifically circumstances, it is obscure under which non insignificant conditions SVMs can ensure quick learning rate. Thus, In this paper We need to utilize the idea of Tsybakov's noise assumption and nearby rademacher's average for learning rate.</w:t>
      </w:r>
    </w:p>
    <w:p w:rsidR="00000000" w:rsidDel="00000000" w:rsidP="00000000" w:rsidRDefault="00000000" w:rsidRPr="00000000" w14:paraId="00000011">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Proposed problem - </w:t>
      </w:r>
    </w:p>
    <w:p w:rsidR="00000000" w:rsidDel="00000000" w:rsidP="00000000" w:rsidRDefault="00000000" w:rsidRPr="00000000" w14:paraId="00000013">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measure the learning performance of restricted classes of distribution?</w:t>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to determine it and get an answer specifically, it is obscure under which nontrivial conditions SVMs can ensure quick learning rate utilizing some supposition we set up learning rate for estimating execution of these classes arranged by n</w:t>
      </w:r>
      <w:r w:rsidDel="00000000" w:rsidR="00000000" w:rsidRPr="00000000">
        <w:rPr>
          <w:rFonts w:ascii="Gungsuh" w:cs="Gungsuh" w:eastAsia="Gungsuh" w:hAnsi="Gungsuh"/>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for all nontrivial distributions.</w:t>
      </w:r>
    </w:p>
    <w:p w:rsidR="00000000" w:rsidDel="00000000" w:rsidP="00000000" w:rsidRDefault="00000000" w:rsidRPr="00000000" w14:paraId="00000016">
      <w:pPr>
        <w:ind w:left="72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Tsybakov’s noise assumption -</w:t>
      </w:r>
    </w:p>
    <w:p w:rsidR="00000000" w:rsidDel="00000000" w:rsidP="00000000" w:rsidRDefault="00000000" w:rsidRPr="00000000" w14:paraId="00000018">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Tsybakov’s assumption describes the amount of noise in the labels. In distribution P, we use function |2η-1| for describing the noise in labels. In regions where this function is close to 1 there is only a small amount of noise, whereas function values close to 0 only occur in regions with a high level of noise.</w:t>
      </w:r>
    </w:p>
    <w:p w:rsidR="00000000" w:rsidDel="00000000" w:rsidP="00000000" w:rsidRDefault="00000000" w:rsidRPr="00000000" w14:paraId="0000001A">
      <w:pPr>
        <w:ind w:left="0" w:firstLine="0"/>
        <w:jc w:val="left"/>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If there exist α∈ (0, 1), C &gt;0, and t0∈ (0, 1/2] such that-</w:t>
      </w:r>
    </w:p>
    <w:p w:rsidR="00000000" w:rsidDel="00000000" w:rsidP="00000000" w:rsidRDefault="00000000" w:rsidRPr="00000000" w14:paraId="0000001B">
      <w:pPr>
        <w:ind w:left="0" w:firstLine="0"/>
        <w:jc w:val="left"/>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Px[ |η(X)-1/2| ≤ t] ≤ C. t</w:t>
      </w:r>
      <w:r w:rsidDel="00000000" w:rsidR="00000000" w:rsidRPr="00000000">
        <w:rPr>
          <w:rFonts w:ascii="Times New Roman" w:cs="Times New Roman" w:eastAsia="Times New Roman" w:hAnsi="Times New Roman"/>
          <w:sz w:val="28"/>
          <w:szCs w:val="28"/>
          <w:vertAlign w:val="superscript"/>
          <w:rtl w:val="0"/>
        </w:rPr>
        <w:t xml:space="preserve">( α/1- α)</w:t>
      </w:r>
      <w:r w:rsidDel="00000000" w:rsidR="00000000" w:rsidRPr="00000000">
        <w:rPr>
          <w:rFonts w:ascii="Gungsuh" w:cs="Gungsuh" w:eastAsia="Gungsuh" w:hAnsi="Gungsuh"/>
          <w:sz w:val="28"/>
          <w:szCs w:val="28"/>
          <w:rtl w:val="0"/>
        </w:rPr>
        <w:t xml:space="preserve">  , for all t ∈ [0,t0].</w:t>
      </w:r>
    </w:p>
    <w:p w:rsidR="00000000" w:rsidDel="00000000" w:rsidP="00000000" w:rsidRDefault="00000000" w:rsidRPr="00000000" w14:paraId="0000001C">
      <w:pPr>
        <w:ind w:left="0" w:firstLine="0"/>
        <w:jc w:val="left"/>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In particular, as α → 1, t</w:t>
      </w:r>
      <w:r w:rsidDel="00000000" w:rsidR="00000000" w:rsidRPr="00000000">
        <w:rPr>
          <w:rFonts w:ascii="Times New Roman" w:cs="Times New Roman" w:eastAsia="Times New Roman" w:hAnsi="Times New Roman"/>
          <w:sz w:val="28"/>
          <w:szCs w:val="28"/>
          <w:vertAlign w:val="superscript"/>
          <w:rtl w:val="0"/>
        </w:rPr>
        <w:t xml:space="preserve">( α/1- α)</w:t>
      </w:r>
      <w:r w:rsidDel="00000000" w:rsidR="00000000" w:rsidRPr="00000000">
        <w:rPr>
          <w:rFonts w:ascii="Cardo" w:cs="Cardo" w:eastAsia="Cardo" w:hAnsi="Cardo"/>
          <w:sz w:val="28"/>
          <w:szCs w:val="28"/>
          <w:rtl w:val="0"/>
        </w:rPr>
        <w:t xml:space="preserve"> →0, this recovers Massart’s condition with γ = t0 and we have a fast learning rate.</w:t>
      </w:r>
    </w:p>
    <w:p w:rsidR="00000000" w:rsidDel="00000000" w:rsidP="00000000" w:rsidRDefault="00000000" w:rsidRPr="00000000" w14:paraId="0000001D">
      <w:pPr>
        <w:ind w:left="0" w:firstLine="0"/>
        <w:jc w:val="left"/>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As α → 0, t</w:t>
      </w:r>
      <w:r w:rsidDel="00000000" w:rsidR="00000000" w:rsidRPr="00000000">
        <w:rPr>
          <w:rFonts w:ascii="Times New Roman" w:cs="Times New Roman" w:eastAsia="Times New Roman" w:hAnsi="Times New Roman"/>
          <w:sz w:val="28"/>
          <w:szCs w:val="28"/>
          <w:vertAlign w:val="superscript"/>
          <w:rtl w:val="0"/>
        </w:rPr>
        <w:t xml:space="preserve">( α/1- α)</w:t>
      </w:r>
      <w:r w:rsidDel="00000000" w:rsidR="00000000" w:rsidRPr="00000000">
        <w:rPr>
          <w:rFonts w:ascii="Cardo" w:cs="Cardo" w:eastAsia="Cardo" w:hAnsi="Cardo"/>
          <w:sz w:val="28"/>
          <w:szCs w:val="28"/>
          <w:rtl w:val="0"/>
        </w:rPr>
        <w:t xml:space="preserve"> →0, so the condition is void and we have a slow learning rate. In between, it is natural to expect a fast rate (meaning faster than slow rate) whose order depends on α.</w:t>
      </w:r>
    </w:p>
    <w:p w:rsidR="00000000" w:rsidDel="00000000" w:rsidP="00000000" w:rsidRDefault="00000000" w:rsidRPr="00000000" w14:paraId="0000001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2"/>
        </w:numPr>
        <w:ind w:left="720" w:hanging="36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 new geometric assumption for distribution-</w:t>
      </w:r>
    </w:p>
    <w:p w:rsidR="00000000" w:rsidDel="00000000" w:rsidP="00000000" w:rsidRDefault="00000000" w:rsidRPr="00000000" w14:paraId="00000020">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supposition there is a condition that will allow us to discover and assess the estimate errors for gaussian RBF bits . To this end let l be the hinge loss function and P be a distribution over X. </w:t>
      </w:r>
    </w:p>
    <w:p w:rsidR="00000000" w:rsidDel="00000000" w:rsidP="00000000" w:rsidRDefault="00000000" w:rsidRPr="00000000" w14:paraId="00000022">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 l,p := inf{R l,p(f)|f : X -&gt; R measurable} denote the smallest possible l-risk of P. Since functions achieving the minimal l-risk occur in many situations we indicate them by f l,p if no confusion regarding the nonuniqueness of this symbol can be expected. Furthermore, recall that //,p has a shape similar to the Bayes decision function sign fp. Now, given a RKHS H over X we define the approximation error function with respect to H and P by a(y):= inf(y||f||^2H +Rl,p(f)- Rl,p), y&gt;=0.</w:t>
      </w:r>
    </w:p>
    <w:p w:rsidR="00000000" w:rsidDel="00000000" w:rsidP="00000000" w:rsidRDefault="00000000" w:rsidRPr="00000000" w14:paraId="0000002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Conclusion -</w:t>
      </w:r>
    </w:p>
    <w:p w:rsidR="00000000" w:rsidDel="00000000" w:rsidP="00000000" w:rsidRDefault="00000000" w:rsidRPr="00000000" w14:paraId="00000025">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improved SVM is presented in this paper that is Fast Rates For SVM. This is to improve the outcomes that began from the traditional SVM. SMVC is known to give good theoretical outcomes and subsequently it was extremely important to utilize and build up the calculation to give the training results that can be forced on the genuine issue.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