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14D4E"/>
          <w:sz w:val="40"/>
          <w:szCs w:val="40"/>
        </w:rPr>
        <w:t xml:space="preserve">AlwaysReady</w:t>
      </w:r>
    </w:p>
    <w:p>
      <w:pPr>
        <w:spacing w:after="40"/>
      </w:pPr>
      <w:r>
        <w:rPr>
          <w:color w:val="555555"/>
          <w:sz w:val="28"/>
          <w:szCs w:val="28"/>
        </w:rPr>
        <w:t xml:space="preserve">Legal Pages — Marketing Handover</w:t>
      </w:r>
    </w:p>
    <w:p>
      <w:pPr>
        <w:spacing w:after="80"/>
      </w:pPr>
      <w:r>
        <w:rPr>
          <w:i/>
          <w:iCs/>
          <w:color w:val="555555"/>
          <w:sz w:val="18"/>
          <w:szCs w:val="18"/>
        </w:rPr>
        <w:t xml:space="preserve">Prepared July 2026 · For upload to alwaysready.uk/legal</w:t>
      </w:r>
    </w:p>
    <w:p>
      <w:pPr>
        <w:pBdr>
          <w:bottom w:val="single" w:color="CCCCCC" w:sz="4"/>
        </w:pBdr>
        <w:spacing w:after="160" w:before="160"/>
      </w:pPr>
      <w:r>
        <w:t xml:space="preserve"/>
      </w:r>
    </w:p>
    <w:p>
      <w:pPr>
        <w:pStyle w:val="Heading3"/>
        <w:spacing w:after="80" w:before="240"/>
        <w:rPr>
          <w:b/>
          <w:bCs/>
          <w:color w:val="1A1A1A"/>
          <w:sz w:val="20"/>
          <w:szCs w:val="20"/>
        </w:rPr>
      </w:pPr>
      <w:r>
        <w:t xml:space="preserve">Instructions for Marketing Claude</w:t>
      </w:r>
    </w:p>
    <w:p>
      <w:pPr>
        <w:spacing w:after="160"/>
        <w:jc w:val="left"/>
      </w:pPr>
      <w:r>
        <w:rPr>
          <w:b w:val="false"/>
          <w:bCs w:val="false"/>
          <w:color w:val="1A1A1A"/>
          <w:sz w:val="20"/>
          <w:szCs w:val="20"/>
        </w:rPr>
        <w:t xml:space="preserve">This document contains the complete, ready-to-publish text for every policy section on the alwaysready.uk/legal page. Replace the existing content section by section using the headings below as a guide. The page order and heading structure should remain the same as the current live page.</w:t>
      </w:r>
    </w:p>
    <w:p>
      <w:pPr>
        <w:spacing w:after="160"/>
        <w:jc w:val="left"/>
      </w:pPr>
      <w:r>
        <w:rPr>
          <w:b w:val="false"/>
          <w:bCs w:val="false"/>
          <w:color w:val="1A1A1A"/>
          <w:sz w:val="20"/>
          <w:szCs w:val="20"/>
        </w:rPr>
        <w:t xml:space="preserve">All seven sections are included:</w:t>
      </w:r>
    </w:p>
    <w:p>
      <w:pPr>
        <w:pStyle w:val="ListParagraph"/>
        <w:numPr>
          <w:ilvl w:val="0"/>
          <w:numId w:val="1"/>
        </w:numPr>
        <w:spacing w:after="80"/>
      </w:pPr>
      <w:r>
        <w:rPr>
          <w:color w:val="1A1A1A"/>
          <w:sz w:val="20"/>
          <w:szCs w:val="20"/>
        </w:rPr>
        <w:t xml:space="preserve">Privacy Policy</w:t>
      </w:r>
    </w:p>
    <w:p>
      <w:pPr>
        <w:pStyle w:val="ListParagraph"/>
        <w:numPr>
          <w:ilvl w:val="0"/>
          <w:numId w:val="1"/>
        </w:numPr>
        <w:spacing w:after="80"/>
      </w:pPr>
      <w:r>
        <w:rPr>
          <w:color w:val="1A1A1A"/>
          <w:sz w:val="20"/>
          <w:szCs w:val="20"/>
        </w:rPr>
        <w:t xml:space="preserve">Cookie Policy</w:t>
      </w:r>
    </w:p>
    <w:p>
      <w:pPr>
        <w:pStyle w:val="ListParagraph"/>
        <w:numPr>
          <w:ilvl w:val="0"/>
          <w:numId w:val="1"/>
        </w:numPr>
        <w:spacing w:after="80"/>
      </w:pPr>
      <w:r>
        <w:rPr>
          <w:color w:val="1A1A1A"/>
          <w:sz w:val="20"/>
          <w:szCs w:val="20"/>
        </w:rPr>
        <w:t xml:space="preserve">Terms and Conditions</w:t>
      </w:r>
    </w:p>
    <w:p>
      <w:pPr>
        <w:pStyle w:val="ListParagraph"/>
        <w:numPr>
          <w:ilvl w:val="0"/>
          <w:numId w:val="1"/>
        </w:numPr>
        <w:spacing w:after="80"/>
      </w:pPr>
      <w:r>
        <w:rPr>
          <w:color w:val="1A1A1A"/>
          <w:sz w:val="20"/>
          <w:szCs w:val="20"/>
        </w:rPr>
        <w:t xml:space="preserve">Acceptable Use Policy</w:t>
      </w:r>
    </w:p>
    <w:p>
      <w:pPr>
        <w:pStyle w:val="ListParagraph"/>
        <w:numPr>
          <w:ilvl w:val="0"/>
          <w:numId w:val="1"/>
        </w:numPr>
        <w:spacing w:after="80"/>
      </w:pPr>
      <w:r>
        <w:rPr>
          <w:color w:val="1A1A1A"/>
          <w:sz w:val="20"/>
          <w:szCs w:val="20"/>
        </w:rPr>
        <w:t xml:space="preserve">Cancellation Policy</w:t>
      </w:r>
    </w:p>
    <w:p>
      <w:pPr>
        <w:pStyle w:val="ListParagraph"/>
        <w:numPr>
          <w:ilvl w:val="0"/>
          <w:numId w:val="1"/>
        </w:numPr>
        <w:spacing w:after="80"/>
      </w:pPr>
      <w:r>
        <w:rPr>
          <w:color w:val="1A1A1A"/>
          <w:sz w:val="20"/>
          <w:szCs w:val="20"/>
        </w:rPr>
        <w:t xml:space="preserve">Accessibility Policy</w:t>
      </w:r>
    </w:p>
    <w:p>
      <w:pPr>
        <w:pStyle w:val="ListParagraph"/>
        <w:numPr>
          <w:ilvl w:val="0"/>
          <w:numId w:val="1"/>
        </w:numPr>
        <w:spacing w:after="80"/>
      </w:pPr>
      <w:r>
        <w:rPr>
          <w:color w:val="1A1A1A"/>
          <w:sz w:val="20"/>
          <w:szCs w:val="20"/>
        </w:rPr>
        <w:t xml:space="preserve">Disclaimer</w:t>
      </w:r>
    </w:p>
    <w:p>
      <w:pPr>
        <w:spacing w:after="160"/>
        <w:jc w:val="left"/>
      </w:pPr>
      <w:r>
        <w:rPr>
          <w:b/>
          <w:bCs/>
          <w:color w:val="1A1A1A"/>
          <w:sz w:val="20"/>
          <w:szCs w:val="20"/>
        </w:rPr>
        <w:t xml:space="preserve">Key changes from the previous version:</w:t>
      </w:r>
    </w:p>
    <w:p>
      <w:pPr>
        <w:pStyle w:val="ListParagraph"/>
        <w:numPr>
          <w:ilvl w:val="0"/>
          <w:numId w:val="1"/>
        </w:numPr>
        <w:spacing w:after="80"/>
      </w:pPr>
      <w:r>
        <w:rPr>
          <w:color w:val="1A1A1A"/>
          <w:sz w:val="20"/>
          <w:szCs w:val="20"/>
        </w:rPr>
        <w:t xml:space="preserve">Business name: "Parker Digital &amp; Print Services" — no "Ltd"; no "registered at" (sole trader)</w:t>
      </w:r>
    </w:p>
    <w:p>
      <w:pPr>
        <w:pStyle w:val="ListParagraph"/>
        <w:numPr>
          <w:ilvl w:val="0"/>
          <w:numId w:val="1"/>
        </w:numPr>
        <w:spacing w:after="80"/>
      </w:pPr>
      <w:r>
        <w:rPr>
          <w:color w:val="1A1A1A"/>
          <w:sz w:val="20"/>
          <w:szCs w:val="20"/>
        </w:rPr>
        <w:t xml:space="preserve">Contact email: support@alwaysready.uk throughout</w:t>
      </w:r>
    </w:p>
    <w:p>
      <w:pPr>
        <w:pStyle w:val="ListParagraph"/>
        <w:numPr>
          <w:ilvl w:val="0"/>
          <w:numId w:val="1"/>
        </w:numPr>
        <w:spacing w:after="80"/>
      </w:pPr>
      <w:r>
        <w:rPr>
          <w:color w:val="1A1A1A"/>
          <w:sz w:val="20"/>
          <w:szCs w:val="20"/>
        </w:rPr>
        <w:t xml:space="preserve">Privacy Policy expanded to cover the platform (Part A / Part B structure); sub-processors table added; AI newsletter tool and T&amp;Cs acceptance logging added</w:t>
      </w:r>
    </w:p>
    <w:p>
      <w:pPr>
        <w:pStyle w:val="ListParagraph"/>
        <w:numPr>
          <w:ilvl w:val="0"/>
          <w:numId w:val="1"/>
        </w:numPr>
        <w:spacing w:after="80"/>
      </w:pPr>
      <w:r>
        <w:rPr>
          <w:color w:val="1A1A1A"/>
          <w:sz w:val="20"/>
          <w:szCs w:val="20"/>
        </w:rPr>
        <w:t xml:space="preserve">Terms and Conditions expanded to cover platform features: user accounts, data responsibilities, AI tool, CQC data, data export, cancellation</w:t>
      </w:r>
    </w:p>
    <w:p>
      <w:pPr>
        <w:pStyle w:val="ListParagraph"/>
        <w:numPr>
          <w:ilvl w:val="0"/>
          <w:numId w:val="1"/>
        </w:numPr>
        <w:spacing w:after="80"/>
      </w:pPr>
      <w:r>
        <w:rPr>
          <w:color w:val="1A1A1A"/>
          <w:sz w:val="20"/>
          <w:szCs w:val="20"/>
        </w:rPr>
        <w:t xml:space="preserve">Disclaimer and T&amp;Cs liability section strengthened with explicit readiness score and inspection pack notices</w:t>
      </w:r>
    </w:p>
    <w:p>
      <w:pPr>
        <w:pStyle w:val="ListParagraph"/>
        <w:numPr>
          <w:ilvl w:val="0"/>
          <w:numId w:val="1"/>
        </w:numPr>
        <w:spacing w:after="80"/>
      </w:pPr>
      <w:r>
        <w:rPr>
          <w:color w:val="1A1A1A"/>
          <w:sz w:val="20"/>
          <w:szCs w:val="20"/>
        </w:rPr>
        <w:t xml:space="preserve">Cancellation Policy updated: 30-day data retention window; self-serve export; reflects current platform behaviour</w:t>
      </w:r>
    </w:p>
    <w:p>
      <w:pPr>
        <w:pStyle w:val="ListParagraph"/>
        <w:numPr>
          <w:ilvl w:val="0"/>
          <w:numId w:val="1"/>
        </w:numPr>
        <w:spacing w:after="80"/>
      </w:pPr>
      <w:r>
        <w:rPr>
          <w:color w:val="1A1A1A"/>
          <w:sz w:val="20"/>
          <w:szCs w:val="20"/>
        </w:rPr>
        <w:t xml:space="preserve">Acceptable Use Policy: AI tool prohibited uses added</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Privacy Policy</w:t>
      </w:r>
    </w:p>
    <w:p>
      <w:pPr>
        <w:spacing w:after="80"/>
      </w:pPr>
      <w:r>
        <w:rPr>
          <w:i/>
          <w:iCs/>
          <w:color w:val="555555"/>
          <w:sz w:val="18"/>
          <w:szCs w:val="18"/>
        </w:rPr>
        <w:t xml:space="preserve">Last updated: July 2026 · AlwaysReady · Parker Digital &amp; Print Services</w:t>
      </w:r>
    </w:p>
    <w:p>
      <w:pPr>
        <w:spacing w:after="160"/>
        <w:jc w:val="left"/>
      </w:pPr>
      <w:r>
        <w:rPr>
          <w:b w:val="false"/>
          <w:bCs w:val="false"/>
          <w:color w:val="1A1A1A"/>
          <w:sz w:val="20"/>
          <w:szCs w:val="20"/>
        </w:rPr>
        <w:t xml:space="preserve">This policy explains how AlwaysReady collects, uses and protects your personal data when you use our marketing website (alwaysready.uk) or our inspection readiness platform (portal.alwaysready.uk).</w:t>
      </w:r>
    </w:p>
    <w:p>
      <w:pPr>
        <w:pStyle w:val="Heading2"/>
        <w:spacing w:after="120" w:before="320"/>
        <w:rPr>
          <w:b/>
          <w:bCs/>
          <w:color w:val="014D4E"/>
          <w:sz w:val="22"/>
          <w:szCs w:val="22"/>
        </w:rPr>
      </w:pPr>
      <w:r>
        <w:t xml:space="preserve">1. Who we are</w:t>
      </w:r>
    </w:p>
    <w:p>
      <w:pPr>
        <w:spacing w:after="160"/>
        <w:jc w:val="left"/>
      </w:pPr>
      <w:r>
        <w:rPr>
          <w:b w:val="false"/>
          <w:bCs w:val="false"/>
          <w:color w:val="1A1A1A"/>
          <w:sz w:val="20"/>
          <w:szCs w:val="20"/>
        </w:rPr>
        <w:t xml:space="preserve">AlwaysReady is a brand of Parker Digital &amp; Print Services, based at 82A James Carter Road, Mildenhall, IP28 7DE. We provide CQC inspection readiness tools for adult social care managers in the UK.</w:t>
      </w:r>
    </w:p>
    <w:p>
      <w:pPr>
        <w:spacing w:after="160"/>
      </w:pPr>
      <w:r>
        <w:rPr>
          <w:b/>
          <w:bCs/>
          <w:color w:val="1A1A1A"/>
          <w:sz w:val="20"/>
          <w:szCs w:val="20"/>
        </w:rPr>
        <w:t xml:space="preserve">Data Controller: </w:t>
      </w:r>
      <w:r>
        <w:rPr>
          <w:color w:val="1A1A1A"/>
          <w:sz w:val="20"/>
          <w:szCs w:val="20"/>
        </w:rPr>
        <w:t xml:space="preserve">Parker Digital &amp; Print Services</w:t>
      </w:r>
    </w:p>
    <w:p>
      <w:pPr>
        <w:spacing w:after="160"/>
      </w:pPr>
      <w:r>
        <w:rPr>
          <w:b/>
          <w:bCs/>
          <w:color w:val="1A1A1A"/>
          <w:sz w:val="20"/>
          <w:szCs w:val="20"/>
        </w:rPr>
        <w:t xml:space="preserve">Contact: </w:t>
      </w:r>
      <w:r>
        <w:rPr>
          <w:color w:val="1A1A1A"/>
          <w:sz w:val="20"/>
          <w:szCs w:val="20"/>
        </w:rPr>
        <w:t xml:space="preserve">support@alwaysready.uk</w:t>
      </w:r>
    </w:p>
    <w:p>
      <w:pPr>
        <w:spacing w:after="160"/>
        <w:jc w:val="left"/>
      </w:pPr>
      <w:r>
        <w:rPr>
          <w:b w:val="false"/>
          <w:bCs w:val="false"/>
          <w:color w:val="1A1A1A"/>
          <w:sz w:val="20"/>
          <w:szCs w:val="20"/>
        </w:rPr>
        <w:t xml:space="preserve">Where our platform stores and processes personal data on behalf of your organisation, Parker Digital &amp; Print Services also acts as a data processor. A Data Processing Agreement (DPA) governing this relationship is available on request.</w:t>
      </w:r>
    </w:p>
    <w:p>
      <w:pPr>
        <w:pStyle w:val="Heading2"/>
        <w:spacing w:after="120" w:before="320"/>
        <w:rPr>
          <w:b/>
          <w:bCs/>
          <w:color w:val="014D4E"/>
          <w:sz w:val="22"/>
          <w:szCs w:val="22"/>
        </w:rPr>
      </w:pPr>
      <w:r>
        <w:t xml:space="preserve">2. Part A — Marketing website (alwaysready.uk)</w:t>
      </w:r>
    </w:p>
    <w:p>
      <w:pPr>
        <w:pStyle w:val="Heading3"/>
        <w:spacing w:after="80" w:before="240"/>
        <w:rPr>
          <w:b/>
          <w:bCs/>
          <w:color w:val="1A1A1A"/>
          <w:sz w:val="20"/>
          <w:szCs w:val="20"/>
        </w:rPr>
      </w:pPr>
      <w:r>
        <w:t xml:space="preserve">What we collect and why</w:t>
      </w:r>
    </w:p>
    <w:p>
      <w:pPr>
        <w:spacing w:after="160"/>
        <w:jc w:val="left"/>
      </w:pPr>
      <w:r>
        <w:rPr>
          <w:b w:val="false"/>
          <w:bCs w:val="false"/>
          <w:color w:val="1A1A1A"/>
          <w:sz w:val="20"/>
          <w:szCs w:val="20"/>
        </w:rPr>
        <w:t xml:space="preserve">We collect name, work email, organisation name, CQC Location ID, service type and marketing consent when you:</w:t>
      </w:r>
    </w:p>
    <w:p>
      <w:pPr>
        <w:pStyle w:val="ListParagraph"/>
        <w:numPr>
          <w:ilvl w:val="0"/>
          <w:numId w:val="1"/>
        </w:numPr>
        <w:spacing w:after="80"/>
      </w:pPr>
      <w:r>
        <w:rPr>
          <w:color w:val="1A1A1A"/>
          <w:sz w:val="20"/>
          <w:szCs w:val="20"/>
        </w:rPr>
        <w:t xml:space="preserve">Start a free trial via our website</w:t>
      </w:r>
    </w:p>
    <w:p>
      <w:pPr>
        <w:pStyle w:val="ListParagraph"/>
        <w:numPr>
          <w:ilvl w:val="0"/>
          <w:numId w:val="1"/>
        </w:numPr>
        <w:spacing w:after="80"/>
      </w:pPr>
      <w:r>
        <w:rPr>
          <w:color w:val="1A1A1A"/>
          <w:sz w:val="20"/>
          <w:szCs w:val="20"/>
        </w:rPr>
        <w:t xml:space="preserve">Subscribe to our blog or newsletter</w:t>
      </w:r>
    </w:p>
    <w:p>
      <w:pPr>
        <w:pStyle w:val="ListParagraph"/>
        <w:numPr>
          <w:ilvl w:val="0"/>
          <w:numId w:val="1"/>
        </w:numPr>
        <w:spacing w:after="80"/>
      </w:pPr>
      <w:r>
        <w:rPr>
          <w:color w:val="1A1A1A"/>
          <w:sz w:val="20"/>
          <w:szCs w:val="20"/>
        </w:rPr>
        <w:t xml:space="preserve">Make an enquiry via our Contact form</w:t>
      </w:r>
    </w:p>
    <w:p>
      <w:pPr>
        <w:pStyle w:val="ListParagraph"/>
        <w:numPr>
          <w:ilvl w:val="0"/>
          <w:numId w:val="1"/>
        </w:numPr>
        <w:spacing w:after="80"/>
      </w:pPr>
      <w:r>
        <w:rPr>
          <w:color w:val="1A1A1A"/>
          <w:sz w:val="20"/>
          <w:szCs w:val="20"/>
        </w:rPr>
        <w:t xml:space="preserve">Join our waitlist</w:t>
      </w:r>
    </w:p>
    <w:p>
      <w:pPr>
        <w:spacing w:after="160"/>
      </w:pPr>
      <w:r>
        <w:rPr>
          <w:b/>
          <w:bCs/>
          <w:color w:val="1A1A1A"/>
          <w:sz w:val="20"/>
          <w:szCs w:val="20"/>
        </w:rPr>
        <w:t xml:space="preserve">Legal basis:</w:t>
      </w:r>
      <w:r>
        <w:rPr>
          <w:color w:val="1A1A1A"/>
          <w:sz w:val="20"/>
          <w:szCs w:val="20"/>
        </w:rPr>
        <w:t xml:space="preserve"> Performance of a contract (Article 6(1)(b) UK GDPR) for delivering resources and trial access; Consent (Article 6(1)(a)) for marketing communications.</w:t>
      </w:r>
    </w:p>
    <w:p>
      <w:pPr>
        <w:pStyle w:val="Heading3"/>
        <w:spacing w:after="80" w:before="240"/>
        <w:rPr>
          <w:b/>
          <w:bCs/>
          <w:color w:val="1A1A1A"/>
          <w:sz w:val="20"/>
          <w:szCs w:val="20"/>
        </w:rPr>
      </w:pPr>
      <w:r>
        <w:t xml:space="preserve">How we store it</w:t>
      </w:r>
    </w:p>
    <w:p>
      <w:pPr>
        <w:spacing w:after="160"/>
        <w:jc w:val="left"/>
      </w:pPr>
      <w:r>
        <w:rPr>
          <w:b w:val="false"/>
          <w:bCs w:val="false"/>
          <w:color w:val="1A1A1A"/>
          <w:sz w:val="20"/>
          <w:szCs w:val="20"/>
        </w:rPr>
        <w:t xml:space="preserve">Form data submitted via our website is processed by Netlify Forms (held for up to 30 days, then deleted from Netlify) and transferred to our secure database hosted on Supabase as a contact or lead record.</w:t>
      </w:r>
    </w:p>
    <w:p>
      <w:pPr>
        <w:pStyle w:val="Heading2"/>
        <w:spacing w:after="120" w:before="320"/>
        <w:rPr>
          <w:b/>
          <w:bCs/>
          <w:color w:val="014D4E"/>
          <w:sz w:val="22"/>
          <w:szCs w:val="22"/>
        </w:rPr>
      </w:pPr>
      <w:r>
        <w:t xml:space="preserve">3. Part B — AlwaysReady Platform (portal.alwaysready.uk)</w:t>
      </w:r>
    </w:p>
    <w:p>
      <w:pPr>
        <w:spacing w:after="160"/>
        <w:jc w:val="left"/>
      </w:pPr>
      <w:r>
        <w:rPr>
          <w:b w:val="false"/>
          <w:bCs w:val="false"/>
          <w:color w:val="1A1A1A"/>
          <w:sz w:val="20"/>
          <w:szCs w:val="20"/>
        </w:rPr>
        <w:t xml:space="preserve">This section applies to organisations and individuals who use the AlwaysReady inspection readiness platform.</w:t>
      </w:r>
    </w:p>
    <w:p>
      <w:pPr>
        <w:pStyle w:val="Heading3"/>
        <w:spacing w:after="80" w:before="240"/>
        <w:rPr>
          <w:b/>
          <w:bCs/>
          <w:color w:val="1A1A1A"/>
          <w:sz w:val="20"/>
          <w:szCs w:val="20"/>
        </w:rPr>
      </w:pPr>
      <w:r>
        <w:t xml:space="preserve">What we collect and why</w:t>
      </w:r>
    </w:p>
    <w:p>
      <w:pPr>
        <w:spacing w:after="160"/>
        <w:jc w:val="left"/>
      </w:pPr>
      <w:r>
        <w:rPr>
          <w:b w:val="false"/>
          <w:bCs w:val="false"/>
          <w:color w:val="1A1A1A"/>
          <w:sz w:val="20"/>
          <w:szCs w:val="20"/>
        </w:rPr>
        <w:t xml:space="preserve">When your organisation uses the platform, we collect and store the following categories of data:</w:t>
      </w:r>
    </w:p>
    <w:p>
      <w:pPr>
        <w:spacing w:after="160"/>
      </w:pPr>
      <w:r>
        <w:rPr>
          <w:b/>
          <w:bCs/>
          <w:color w:val="1A1A1A"/>
          <w:sz w:val="20"/>
          <w:szCs w:val="20"/>
        </w:rPr>
        <w:t xml:space="preserve">Account and identity data</w:t>
      </w:r>
    </w:p>
    <w:p>
      <w:pPr>
        <w:pStyle w:val="ListParagraph"/>
        <w:numPr>
          <w:ilvl w:val="0"/>
          <w:numId w:val="1"/>
        </w:numPr>
        <w:spacing w:after="80"/>
      </w:pPr>
      <w:r>
        <w:rPr>
          <w:color w:val="1A1A1A"/>
          <w:sz w:val="20"/>
          <w:szCs w:val="20"/>
        </w:rPr>
        <w:t xml:space="preserve">Organisation name and CQC Location ID</w:t>
      </w:r>
    </w:p>
    <w:p>
      <w:pPr>
        <w:pStyle w:val="ListParagraph"/>
        <w:numPr>
          <w:ilvl w:val="0"/>
          <w:numId w:val="1"/>
        </w:numPr>
        <w:spacing w:after="80"/>
      </w:pPr>
      <w:r>
        <w:rPr>
          <w:color w:val="1A1A1A"/>
          <w:sz w:val="20"/>
          <w:szCs w:val="20"/>
        </w:rPr>
        <w:t xml:space="preserve">CQC rating and inspection history (fetched automatically from the public CQC API at signup)</w:t>
      </w:r>
    </w:p>
    <w:p>
      <w:pPr>
        <w:pStyle w:val="ListParagraph"/>
        <w:numPr>
          <w:ilvl w:val="0"/>
          <w:numId w:val="1"/>
        </w:numPr>
        <w:spacing w:after="80"/>
      </w:pPr>
      <w:r>
        <w:rPr>
          <w:color w:val="1A1A1A"/>
          <w:sz w:val="20"/>
          <w:szCs w:val="20"/>
        </w:rPr>
        <w:t xml:space="preserve">Admin account: full name, email address, role</w:t>
      </w:r>
    </w:p>
    <w:p>
      <w:pPr>
        <w:pStyle w:val="ListParagraph"/>
        <w:numPr>
          <w:ilvl w:val="0"/>
          <w:numId w:val="1"/>
        </w:numPr>
        <w:spacing w:after="80"/>
      </w:pPr>
      <w:r>
        <w:rPr>
          <w:color w:val="1A1A1A"/>
          <w:sz w:val="20"/>
          <w:szCs w:val="20"/>
        </w:rPr>
        <w:t xml:space="preserve">Team member accounts: full name, username, role</w:t>
      </w:r>
    </w:p>
    <w:p>
      <w:pPr>
        <w:pStyle w:val="ListParagraph"/>
        <w:numPr>
          <w:ilvl w:val="0"/>
          <w:numId w:val="1"/>
        </w:numPr>
        <w:spacing w:after="80"/>
      </w:pPr>
      <w:r>
        <w:rPr>
          <w:color w:val="1A1A1A"/>
          <w:sz w:val="20"/>
          <w:szCs w:val="20"/>
        </w:rPr>
        <w:t xml:space="preserve">Visitor accounts: full name, email address, access expiry date</w:t>
      </w:r>
    </w:p>
    <w:p>
      <w:pPr>
        <w:spacing w:after="160"/>
      </w:pPr>
      <w:r>
        <w:rPr>
          <w:b/>
          <w:bCs/>
          <w:color w:val="1A1A1A"/>
          <w:sz w:val="20"/>
          <w:szCs w:val="20"/>
        </w:rPr>
        <w:t xml:space="preserve">Compliance and operational data</w:t>
      </w:r>
    </w:p>
    <w:p>
      <w:pPr>
        <w:pStyle w:val="ListParagraph"/>
        <w:numPr>
          <w:ilvl w:val="0"/>
          <w:numId w:val="1"/>
        </w:numPr>
        <w:spacing w:after="80"/>
      </w:pPr>
      <w:r>
        <w:rPr>
          <w:color w:val="1A1A1A"/>
          <w:sz w:val="20"/>
          <w:szCs w:val="20"/>
        </w:rPr>
        <w:t xml:space="preserve">KLOE framework responses, evidence notes, ratings and action items entered by your team</w:t>
      </w:r>
    </w:p>
    <w:p>
      <w:pPr>
        <w:pStyle w:val="ListParagraph"/>
        <w:numPr>
          <w:ilvl w:val="0"/>
          <w:numId w:val="1"/>
        </w:numPr>
        <w:spacing w:after="80"/>
      </w:pPr>
      <w:r>
        <w:rPr>
          <w:color w:val="1A1A1A"/>
          <w:sz w:val="20"/>
          <w:szCs w:val="20"/>
        </w:rPr>
        <w:t xml:space="preserve">Documents and files uploaded as evidence</w:t>
      </w:r>
    </w:p>
    <w:p>
      <w:pPr>
        <w:pStyle w:val="ListParagraph"/>
        <w:numPr>
          <w:ilvl w:val="0"/>
          <w:numId w:val="1"/>
        </w:numPr>
        <w:spacing w:after="80"/>
      </w:pPr>
      <w:r>
        <w:rPr>
          <w:color w:val="1A1A1A"/>
          <w:sz w:val="20"/>
          <w:szCs w:val="20"/>
        </w:rPr>
        <w:t xml:space="preserve">Sub-service configurations (e.g. dementia care, end of life care)</w:t>
      </w:r>
    </w:p>
    <w:p>
      <w:pPr>
        <w:pStyle w:val="ListParagraph"/>
        <w:numPr>
          <w:ilvl w:val="0"/>
          <w:numId w:val="1"/>
        </w:numPr>
        <w:spacing w:after="80"/>
      </w:pPr>
      <w:r>
        <w:rPr>
          <w:color w:val="1A1A1A"/>
          <w:sz w:val="20"/>
          <w:szCs w:val="20"/>
        </w:rPr>
        <w:t xml:space="preserve">Audit trail entries recording changes to compliance records</w:t>
      </w:r>
    </w:p>
    <w:p>
      <w:pPr>
        <w:spacing w:after="160"/>
      </w:pPr>
      <w:r>
        <w:rPr>
          <w:b/>
          <w:bCs/>
          <w:color w:val="1A1A1A"/>
          <w:sz w:val="20"/>
          <w:szCs w:val="20"/>
        </w:rPr>
        <w:t xml:space="preserve">HR and workforce data</w:t>
      </w:r>
    </w:p>
    <w:p>
      <w:pPr>
        <w:pStyle w:val="ListParagraph"/>
        <w:numPr>
          <w:ilvl w:val="0"/>
          <w:numId w:val="1"/>
        </w:numPr>
        <w:spacing w:after="80"/>
      </w:pPr>
      <w:r>
        <w:rPr>
          <w:color w:val="1A1A1A"/>
          <w:sz w:val="20"/>
          <w:szCs w:val="20"/>
        </w:rPr>
        <w:t xml:space="preserve">Staff profiles: name, job title, contract type</w:t>
      </w:r>
    </w:p>
    <w:p>
      <w:pPr>
        <w:pStyle w:val="ListParagraph"/>
        <w:numPr>
          <w:ilvl w:val="0"/>
          <w:numId w:val="1"/>
        </w:numPr>
        <w:spacing w:after="80"/>
      </w:pPr>
      <w:r>
        <w:rPr>
          <w:color w:val="1A1A1A"/>
          <w:sz w:val="20"/>
          <w:szCs w:val="20"/>
        </w:rPr>
        <w:t xml:space="preserve">Training records and certifications</w:t>
      </w:r>
    </w:p>
    <w:p>
      <w:pPr>
        <w:pStyle w:val="ListParagraph"/>
        <w:numPr>
          <w:ilvl w:val="0"/>
          <w:numId w:val="1"/>
        </w:numPr>
        <w:spacing w:after="80"/>
      </w:pPr>
      <w:r>
        <w:rPr>
          <w:color w:val="1A1A1A"/>
          <w:sz w:val="20"/>
          <w:szCs w:val="20"/>
        </w:rPr>
        <w:t xml:space="preserve">Holiday and absence records</w:t>
      </w:r>
    </w:p>
    <w:p>
      <w:pPr>
        <w:spacing w:after="160"/>
      </w:pPr>
      <w:r>
        <w:rPr>
          <w:b/>
          <w:bCs/>
          <w:color w:val="1A1A1A"/>
          <w:sz w:val="20"/>
          <w:szCs w:val="20"/>
        </w:rPr>
        <w:t xml:space="preserve">Support and communication data</w:t>
      </w:r>
    </w:p>
    <w:p>
      <w:pPr>
        <w:pStyle w:val="ListParagraph"/>
        <w:numPr>
          <w:ilvl w:val="0"/>
          <w:numId w:val="1"/>
        </w:numPr>
        <w:spacing w:after="80"/>
      </w:pPr>
      <w:r>
        <w:rPr>
          <w:color w:val="1A1A1A"/>
          <w:sz w:val="20"/>
          <w:szCs w:val="20"/>
        </w:rPr>
        <w:t xml:space="preserve">Support tickets submitted through the platform or by email</w:t>
      </w:r>
    </w:p>
    <w:p>
      <w:pPr>
        <w:pStyle w:val="ListParagraph"/>
        <w:numPr>
          <w:ilvl w:val="0"/>
          <w:numId w:val="1"/>
        </w:numPr>
        <w:spacing w:after="80"/>
      </w:pPr>
      <w:r>
        <w:rPr>
          <w:color w:val="1A1A1A"/>
          <w:sz w:val="20"/>
          <w:szCs w:val="20"/>
        </w:rPr>
        <w:t xml:space="preserve">Replies and correspondence relating to support requests</w:t>
      </w:r>
    </w:p>
    <w:p>
      <w:pPr>
        <w:spacing w:after="160"/>
      </w:pPr>
      <w:r>
        <w:rPr>
          <w:b/>
          <w:bCs/>
          <w:color w:val="1A1A1A"/>
          <w:sz w:val="20"/>
          <w:szCs w:val="20"/>
        </w:rPr>
        <w:t xml:space="preserve">Legal acceptance data</w:t>
      </w:r>
    </w:p>
    <w:p>
      <w:pPr>
        <w:pStyle w:val="ListParagraph"/>
        <w:numPr>
          <w:ilvl w:val="0"/>
          <w:numId w:val="1"/>
        </w:numPr>
        <w:spacing w:after="80"/>
      </w:pPr>
      <w:r>
        <w:rPr>
          <w:color w:val="1A1A1A"/>
          <w:sz w:val="20"/>
          <w:szCs w:val="20"/>
        </w:rPr>
        <w:t xml:space="preserve">Timestamp and version reference of the Terms &amp; Conditions accepted at trial signup</w:t>
      </w:r>
    </w:p>
    <w:p>
      <w:pPr>
        <w:spacing w:after="160"/>
      </w:pPr>
      <w:r>
        <w:rPr>
          <w:b/>
          <w:bCs/>
          <w:color w:val="1A1A1A"/>
          <w:sz w:val="20"/>
          <w:szCs w:val="20"/>
        </w:rPr>
        <w:t xml:space="preserve">Billing data</w:t>
      </w:r>
    </w:p>
    <w:p>
      <w:pPr>
        <w:pStyle w:val="ListParagraph"/>
        <w:numPr>
          <w:ilvl w:val="0"/>
          <w:numId w:val="1"/>
        </w:numPr>
        <w:spacing w:after="80"/>
      </w:pPr>
      <w:r>
        <w:rPr>
          <w:color w:val="1A1A1A"/>
          <w:sz w:val="20"/>
          <w:szCs w:val="20"/>
        </w:rPr>
        <w:t xml:space="preserve">Subscription status and billing history (managed by Stripe; we do not store card details)</w:t>
      </w:r>
    </w:p>
    <w:p>
      <w:pPr>
        <w:spacing w:after="160"/>
      </w:pPr>
      <w:r>
        <w:rPr>
          <w:b/>
          <w:bCs/>
          <w:color w:val="1A1A1A"/>
          <w:sz w:val="20"/>
          <w:szCs w:val="20"/>
        </w:rPr>
        <w:t xml:space="preserve">Legal basis:</w:t>
      </w:r>
      <w:r>
        <w:rPr>
          <w:color w:val="1A1A1A"/>
          <w:sz w:val="20"/>
          <w:szCs w:val="20"/>
        </w:rPr>
        <w:t xml:space="preserve"> Performance of a contract (Article 6(1)(b) UK GDPR) — processing is necessary to deliver the platform services your organisation has subscribed to.</w:t>
      </w:r>
    </w:p>
    <w:p>
      <w:pPr>
        <w:pStyle w:val="Heading3"/>
        <w:spacing w:after="80" w:before="240"/>
        <w:rPr>
          <w:b/>
          <w:bCs/>
          <w:color w:val="1A1A1A"/>
          <w:sz w:val="20"/>
          <w:szCs w:val="20"/>
        </w:rPr>
      </w:pPr>
      <w:r>
        <w:t xml:space="preserve">How we use this data</w:t>
      </w:r>
    </w:p>
    <w:p>
      <w:pPr>
        <w:spacing w:after="160"/>
        <w:jc w:val="left"/>
      </w:pPr>
      <w:r>
        <w:rPr>
          <w:b w:val="false"/>
          <w:bCs w:val="false"/>
          <w:color w:val="1A1A1A"/>
          <w:sz w:val="20"/>
          <w:szCs w:val="20"/>
        </w:rPr>
        <w:t xml:space="preserve">We use the data above solely to:</w:t>
      </w:r>
    </w:p>
    <w:p>
      <w:pPr>
        <w:pStyle w:val="ListParagraph"/>
        <w:numPr>
          <w:ilvl w:val="0"/>
          <w:numId w:val="1"/>
        </w:numPr>
        <w:spacing w:after="80"/>
      </w:pPr>
      <w:r>
        <w:rPr>
          <w:color w:val="1A1A1A"/>
          <w:sz w:val="20"/>
          <w:szCs w:val="20"/>
        </w:rPr>
        <w:t xml:space="preserve">Provide, maintain and improve the AlwaysReady platform</w:t>
      </w:r>
    </w:p>
    <w:p>
      <w:pPr>
        <w:pStyle w:val="ListParagraph"/>
        <w:numPr>
          <w:ilvl w:val="0"/>
          <w:numId w:val="1"/>
        </w:numPr>
        <w:spacing w:after="80"/>
      </w:pPr>
      <w:r>
        <w:rPr>
          <w:color w:val="1A1A1A"/>
          <w:sz w:val="20"/>
          <w:szCs w:val="20"/>
        </w:rPr>
        <w:t xml:space="preserve">Enable your team to track and manage CQC compliance</w:t>
      </w:r>
    </w:p>
    <w:p>
      <w:pPr>
        <w:pStyle w:val="ListParagraph"/>
        <w:numPr>
          <w:ilvl w:val="0"/>
          <w:numId w:val="1"/>
        </w:numPr>
        <w:spacing w:after="80"/>
      </w:pPr>
      <w:r>
        <w:rPr>
          <w:color w:val="1A1A1A"/>
          <w:sz w:val="20"/>
          <w:szCs w:val="20"/>
        </w:rPr>
        <w:t xml:space="preserve">Send transactional communications (account confirmations, support replies, subscription notifications)</w:t>
      </w:r>
    </w:p>
    <w:p>
      <w:pPr>
        <w:pStyle w:val="ListParagraph"/>
        <w:numPr>
          <w:ilvl w:val="0"/>
          <w:numId w:val="1"/>
        </w:numPr>
        <w:spacing w:after="80"/>
      </w:pPr>
      <w:r>
        <w:rPr>
          <w:color w:val="1A1A1A"/>
          <w:sz w:val="20"/>
          <w:szCs w:val="20"/>
        </w:rPr>
        <w:t xml:space="preserve">Respond to support requests</w:t>
      </w:r>
    </w:p>
    <w:p>
      <w:pPr>
        <w:pStyle w:val="ListParagraph"/>
        <w:numPr>
          <w:ilvl w:val="0"/>
          <w:numId w:val="1"/>
        </w:numPr>
        <w:spacing w:after="80"/>
      </w:pPr>
      <w:r>
        <w:rPr>
          <w:color w:val="1A1A1A"/>
          <w:sz w:val="20"/>
          <w:szCs w:val="20"/>
        </w:rPr>
        <w:t xml:space="preserve">Generate AI-assisted newsletter draft text when requested by the organisation admin (see below)</w:t>
      </w:r>
    </w:p>
    <w:p>
      <w:pPr>
        <w:spacing w:after="160"/>
        <w:jc w:val="left"/>
      </w:pPr>
      <w:r>
        <w:rPr>
          <w:b w:val="false"/>
          <w:bCs w:val="false"/>
          <w:color w:val="1A1A1A"/>
          <w:sz w:val="20"/>
          <w:szCs w:val="20"/>
        </w:rPr>
        <w:t xml:space="preserve">We do not use platform data for marketing purposes. We never sell your data.</w:t>
      </w:r>
    </w:p>
    <w:p>
      <w:pPr>
        <w:pStyle w:val="Heading3"/>
        <w:spacing w:after="80" w:before="240"/>
        <w:rPr>
          <w:b/>
          <w:bCs/>
          <w:color w:val="1A1A1A"/>
          <w:sz w:val="20"/>
          <w:szCs w:val="20"/>
        </w:rPr>
      </w:pPr>
      <w:r>
        <w:t xml:space="preserve">AI newsletter drafting tool</w:t>
      </w:r>
    </w:p>
    <w:p>
      <w:pPr>
        <w:spacing w:after="160"/>
        <w:jc w:val="left"/>
      </w:pPr>
      <w:r>
        <w:rPr>
          <w:b w:val="false"/>
          <w:bCs w:val="false"/>
          <w:color w:val="1A1A1A"/>
          <w:sz w:val="20"/>
          <w:szCs w:val="20"/>
        </w:rPr>
        <w:t xml:space="preserve">The platform includes an AI-assisted newsletter drafting tool available to organisation admins. When used, the content of your newsletter prompt is processed by Anthropic's Claude API to generate a draft. We do not send newsletters on your behalf — the draft is for you to copy, edit and send through your own preferred channel.</w:t>
      </w:r>
    </w:p>
    <w:p>
      <w:pPr>
        <w:spacing w:after="160"/>
      </w:pPr>
      <w:r>
        <w:rPr>
          <w:b/>
          <w:bCs/>
          <w:color w:val="1A1A1A"/>
          <w:sz w:val="20"/>
          <w:szCs w:val="20"/>
        </w:rPr>
        <w:t xml:space="preserve">Important: </w:t>
      </w:r>
      <w:r>
        <w:rPr>
          <w:color w:val="1A1A1A"/>
          <w:sz w:val="20"/>
          <w:szCs w:val="20"/>
        </w:rPr>
        <w:t xml:space="preserve">do not enter personal details of residents, patients, families or individual staff members into the newsletter tool. The tool is for generating general compliance communications only.</w:t>
      </w:r>
    </w:p>
    <w:p>
      <w:pPr>
        <w:spacing w:after="160"/>
        <w:jc w:val="left"/>
      </w:pPr>
      <w:r>
        <w:rPr>
          <w:b w:val="false"/>
          <w:bCs w:val="false"/>
          <w:color w:val="1A1A1A"/>
          <w:sz w:val="20"/>
          <w:szCs w:val="20"/>
        </w:rPr>
        <w:t xml:space="preserve">The Anthropic API is used solely to process newsletter drafting requests and is not used to train AI models on your data. See anthropic.com/privacy for Anthropic's privacy policy.</w:t>
      </w:r>
    </w:p>
    <w:p>
      <w:pPr>
        <w:pStyle w:val="Heading3"/>
        <w:spacing w:after="80" w:before="240"/>
        <w:rPr>
          <w:b/>
          <w:bCs/>
          <w:color w:val="1A1A1A"/>
          <w:sz w:val="20"/>
          <w:szCs w:val="20"/>
        </w:rPr>
      </w:pPr>
      <w:r>
        <w:t xml:space="preserve">Data you enter on behalf of others</w:t>
      </w:r>
    </w:p>
    <w:p>
      <w:pPr>
        <w:spacing w:after="160"/>
        <w:jc w:val="left"/>
      </w:pPr>
      <w:r>
        <w:rPr>
          <w:b w:val="false"/>
          <w:bCs w:val="false"/>
          <w:color w:val="1A1A1A"/>
          <w:sz w:val="20"/>
          <w:szCs w:val="20"/>
        </w:rPr>
        <w:t xml:space="preserve">Your organisation may enter personal data relating to your staff members (names, training records, HR information). Your organisation is the data controller for this data. AlwaysReady processes it solely on your instructions as a data processor. A Data Processing Agreement is available on request.</w:t>
      </w:r>
    </w:p>
    <w:p>
      <w:pPr>
        <w:pStyle w:val="Heading2"/>
        <w:spacing w:after="120" w:before="320"/>
        <w:rPr>
          <w:b/>
          <w:bCs/>
          <w:color w:val="014D4E"/>
          <w:sz w:val="22"/>
          <w:szCs w:val="22"/>
        </w:rPr>
      </w:pPr>
      <w:r>
        <w:t xml:space="preserve">4. Sub-processors</w:t>
      </w:r>
    </w:p>
    <w:p>
      <w:pPr>
        <w:spacing w:after="160"/>
        <w:jc w:val="left"/>
      </w:pPr>
      <w:r>
        <w:rPr>
          <w:b w:val="false"/>
          <w:bCs w:val="false"/>
          <w:color w:val="1A1A1A"/>
          <w:sz w:val="20"/>
          <w:szCs w:val="20"/>
        </w:rPr>
        <w:t xml:space="preserve">We use the following third-party services to deliver our website and platform. Each is bound by appropriate data processing agreements and/or standard contractual clauses where applicable.</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014D4E" w:val="clear"/>
          </w:tcPr>
          <w:p>
            <w:pPr>
              <w:spacing w:after="80" w:before="80"/>
            </w:pPr>
            <w:r>
              <w:rPr>
                <w:b/>
                <w:bCs/>
                <w:color w:val="FFFFFF"/>
                <w:sz w:val="18"/>
                <w:szCs w:val="18"/>
              </w:rPr>
              <w:t xml:space="preserve">Service</w:t>
            </w:r>
          </w:p>
        </w:tc>
        <w:tc>
          <w:tcPr>
            <w:tcW w:type="dxa" w:w="3024"/>
            <w:shd w:fill="014D4E" w:val="clear"/>
          </w:tcPr>
          <w:p>
            <w:pPr>
              <w:spacing w:after="80" w:before="80"/>
            </w:pPr>
            <w:r>
              <w:rPr>
                <w:b/>
                <w:bCs/>
                <w:color w:val="FFFFFF"/>
                <w:sz w:val="18"/>
                <w:szCs w:val="18"/>
              </w:rPr>
              <w:t xml:space="preserve">Purpose</w:t>
            </w:r>
          </w:p>
        </w:tc>
        <w:tc>
          <w:tcPr>
            <w:tcW w:type="dxa" w:w="3024"/>
            <w:shd w:fill="014D4E" w:val="clear"/>
          </w:tcPr>
          <w:p>
            <w:pPr>
              <w:spacing w:after="80" w:before="80"/>
            </w:pPr>
            <w:r>
              <w:rPr>
                <w:b/>
                <w:bCs/>
                <w:color w:val="FFFFFF"/>
                <w:sz w:val="18"/>
                <w:szCs w:val="18"/>
              </w:rPr>
              <w:t xml:space="preserve">Location</w:t>
            </w:r>
          </w:p>
        </w:tc>
      </w:tr>
      <w:tr>
        <w:trPr>
          <w:tblHeader w:val="false"/>
        </w:trPr>
        <w:tc>
          <w:tcPr>
            <w:tcW w:type="dxa" w:w="3024"/>
            <w:shd w:fill="FFFFFF" w:val="clear"/>
          </w:tcPr>
          <w:p>
            <w:pPr>
              <w:spacing w:after="80" w:before="80"/>
            </w:pPr>
            <w:r>
              <w:rPr>
                <w:b w:val="false"/>
                <w:bCs w:val="false"/>
                <w:color w:val="1A1A1A"/>
                <w:sz w:val="18"/>
                <w:szCs w:val="18"/>
              </w:rPr>
              <w:t xml:space="preserve">Supabase</w:t>
            </w:r>
          </w:p>
        </w:tc>
        <w:tc>
          <w:tcPr>
            <w:tcW w:type="dxa" w:w="3024"/>
            <w:shd w:fill="FFFFFF" w:val="clear"/>
          </w:tcPr>
          <w:p>
            <w:pPr>
              <w:spacing w:after="80" w:before="80"/>
            </w:pPr>
            <w:r>
              <w:rPr>
                <w:b w:val="false"/>
                <w:bCs w:val="false"/>
                <w:color w:val="1A1A1A"/>
                <w:sz w:val="18"/>
                <w:szCs w:val="18"/>
              </w:rPr>
              <w:t xml:space="preserve">Platform database and user authentication</w:t>
            </w:r>
          </w:p>
        </w:tc>
        <w:tc>
          <w:tcPr>
            <w:tcW w:type="dxa" w:w="3024"/>
            <w:shd w:fill="FFFFFF" w:val="clear"/>
          </w:tcPr>
          <w:p>
            <w:pPr>
              <w:spacing w:after="80" w:before="80"/>
            </w:pPr>
            <w:r>
              <w:rPr>
                <w:b w:val="false"/>
                <w:bCs w:val="false"/>
                <w:color w:val="1A1A1A"/>
                <w:sz w:val="18"/>
                <w:szCs w:val="18"/>
              </w:rPr>
              <w:t xml:space="preserve">EU / US</w:t>
            </w:r>
          </w:p>
        </w:tc>
      </w:tr>
      <w:tr>
        <w:trPr>
          <w:tblHeader w:val="false"/>
        </w:trPr>
        <w:tc>
          <w:tcPr>
            <w:tcW w:type="dxa" w:w="3024"/>
            <w:shd w:fill="FFFFFF" w:val="clear"/>
          </w:tcPr>
          <w:p>
            <w:pPr>
              <w:spacing w:after="80" w:before="80"/>
            </w:pPr>
            <w:r>
              <w:rPr>
                <w:b w:val="false"/>
                <w:bCs w:val="false"/>
                <w:color w:val="1A1A1A"/>
                <w:sz w:val="18"/>
                <w:szCs w:val="18"/>
              </w:rPr>
              <w:t xml:space="preserve">Vercel</w:t>
            </w:r>
          </w:p>
        </w:tc>
        <w:tc>
          <w:tcPr>
            <w:tcW w:type="dxa" w:w="3024"/>
            <w:shd w:fill="FFFFFF" w:val="clear"/>
          </w:tcPr>
          <w:p>
            <w:pPr>
              <w:spacing w:after="80" w:before="80"/>
            </w:pPr>
            <w:r>
              <w:rPr>
                <w:b w:val="false"/>
                <w:bCs w:val="false"/>
                <w:color w:val="1A1A1A"/>
                <w:sz w:val="18"/>
                <w:szCs w:val="18"/>
              </w:rPr>
              <w:t xml:space="preserve">Platform hosting and deployment</w:t>
            </w:r>
          </w:p>
        </w:tc>
        <w:tc>
          <w:tcPr>
            <w:tcW w:type="dxa" w:w="3024"/>
            <w:shd w:fill="FFFFFF" w:val="clear"/>
          </w:tcPr>
          <w:p>
            <w:pPr>
              <w:spacing w:after="80" w:before="80"/>
            </w:pPr>
            <w:r>
              <w:rPr>
                <w:b w:val="false"/>
                <w:bCs w:val="false"/>
                <w:color w:val="1A1A1A"/>
                <w:sz w:val="18"/>
                <w:szCs w:val="18"/>
              </w:rPr>
              <w:t xml:space="preserve">US (global edge)</w:t>
            </w:r>
          </w:p>
        </w:tc>
      </w:tr>
      <w:tr>
        <w:trPr>
          <w:tblHeader w:val="false"/>
        </w:trPr>
        <w:tc>
          <w:tcPr>
            <w:tcW w:type="dxa" w:w="3024"/>
            <w:shd w:fill="FFFFFF" w:val="clear"/>
          </w:tcPr>
          <w:p>
            <w:pPr>
              <w:spacing w:after="80" w:before="80"/>
            </w:pPr>
            <w:r>
              <w:rPr>
                <w:b w:val="false"/>
                <w:bCs w:val="false"/>
                <w:color w:val="1A1A1A"/>
                <w:sz w:val="18"/>
                <w:szCs w:val="18"/>
              </w:rPr>
              <w:t xml:space="preserve">Cloudflare</w:t>
            </w:r>
          </w:p>
        </w:tc>
        <w:tc>
          <w:tcPr>
            <w:tcW w:type="dxa" w:w="3024"/>
            <w:shd w:fill="FFFFFF" w:val="clear"/>
          </w:tcPr>
          <w:p>
            <w:pPr>
              <w:spacing w:after="80" w:before="80"/>
            </w:pPr>
            <w:r>
              <w:rPr>
                <w:b w:val="false"/>
                <w:bCs w:val="false"/>
                <w:color w:val="1A1A1A"/>
                <w:sz w:val="18"/>
                <w:szCs w:val="18"/>
              </w:rPr>
              <w:t xml:space="preserve">DNS, security, and inbound email routing</w:t>
            </w:r>
          </w:p>
        </w:tc>
        <w:tc>
          <w:tcPr>
            <w:tcW w:type="dxa" w:w="3024"/>
            <w:shd w:fill="FFFFFF" w:val="clear"/>
          </w:tcPr>
          <w:p>
            <w:pPr>
              <w:spacing w:after="80" w:before="80"/>
            </w:pPr>
            <w:r>
              <w:rPr>
                <w:b w:val="false"/>
                <w:bCs w:val="false"/>
                <w:color w:val="1A1A1A"/>
                <w:sz w:val="18"/>
                <w:szCs w:val="18"/>
              </w:rPr>
              <w:t xml:space="preserve">US (global edge)</w:t>
            </w:r>
          </w:p>
        </w:tc>
      </w:tr>
      <w:tr>
        <w:trPr>
          <w:tblHeader w:val="false"/>
        </w:trPr>
        <w:tc>
          <w:tcPr>
            <w:tcW w:type="dxa" w:w="3024"/>
            <w:shd w:fill="FFFFFF" w:val="clear"/>
          </w:tcPr>
          <w:p>
            <w:pPr>
              <w:spacing w:after="80" w:before="80"/>
            </w:pPr>
            <w:r>
              <w:rPr>
                <w:b w:val="false"/>
                <w:bCs w:val="false"/>
                <w:color w:val="1A1A1A"/>
                <w:sz w:val="18"/>
                <w:szCs w:val="18"/>
              </w:rPr>
              <w:t xml:space="preserve">Stripe</w:t>
            </w:r>
          </w:p>
        </w:tc>
        <w:tc>
          <w:tcPr>
            <w:tcW w:type="dxa" w:w="3024"/>
            <w:shd w:fill="FFFFFF" w:val="clear"/>
          </w:tcPr>
          <w:p>
            <w:pPr>
              <w:spacing w:after="80" w:before="80"/>
            </w:pPr>
            <w:r>
              <w:rPr>
                <w:b w:val="false"/>
                <w:bCs w:val="false"/>
                <w:color w:val="1A1A1A"/>
                <w:sz w:val="18"/>
                <w:szCs w:val="18"/>
              </w:rPr>
              <w:t xml:space="preserve">Subscription payment processing</w:t>
            </w:r>
          </w:p>
        </w:tc>
        <w:tc>
          <w:tcPr>
            <w:tcW w:type="dxa" w:w="3024"/>
            <w:shd w:fill="FFFFFF" w:val="clear"/>
          </w:tcPr>
          <w:p>
            <w:pPr>
              <w:spacing w:after="80" w:before="80"/>
            </w:pPr>
            <w:r>
              <w:rPr>
                <w:b w:val="false"/>
                <w:bCs w:val="false"/>
                <w:color w:val="1A1A1A"/>
                <w:sz w:val="18"/>
                <w:szCs w:val="18"/>
              </w:rPr>
              <w:t xml:space="preserve">US / UK</w:t>
            </w:r>
          </w:p>
        </w:tc>
      </w:tr>
      <w:tr>
        <w:trPr>
          <w:tblHeader w:val="false"/>
        </w:trPr>
        <w:tc>
          <w:tcPr>
            <w:tcW w:type="dxa" w:w="3024"/>
            <w:shd w:fill="FFFFFF" w:val="clear"/>
          </w:tcPr>
          <w:p>
            <w:pPr>
              <w:spacing w:after="80" w:before="80"/>
            </w:pPr>
            <w:r>
              <w:rPr>
                <w:b w:val="false"/>
                <w:bCs w:val="false"/>
                <w:color w:val="1A1A1A"/>
                <w:sz w:val="18"/>
                <w:szCs w:val="18"/>
              </w:rPr>
              <w:t xml:space="preserve">Resend</w:t>
            </w:r>
          </w:p>
        </w:tc>
        <w:tc>
          <w:tcPr>
            <w:tcW w:type="dxa" w:w="3024"/>
            <w:shd w:fill="FFFFFF" w:val="clear"/>
          </w:tcPr>
          <w:p>
            <w:pPr>
              <w:spacing w:after="80" w:before="80"/>
            </w:pPr>
            <w:r>
              <w:rPr>
                <w:b w:val="false"/>
                <w:bCs w:val="false"/>
                <w:color w:val="1A1A1A"/>
                <w:sz w:val="18"/>
                <w:szCs w:val="18"/>
              </w:rPr>
              <w:t xml:space="preserve">Transactional email delivery</w:t>
            </w:r>
          </w:p>
        </w:tc>
        <w:tc>
          <w:tcPr>
            <w:tcW w:type="dxa" w:w="3024"/>
            <w:shd w:fill="FFFFFF" w:val="clear"/>
          </w:tcPr>
          <w:p>
            <w:pPr>
              <w:spacing w:after="80" w:before="80"/>
            </w:pPr>
            <w:r>
              <w:rPr>
                <w:b w:val="false"/>
                <w:bCs w:val="false"/>
                <w:color w:val="1A1A1A"/>
                <w:sz w:val="18"/>
                <w:szCs w:val="18"/>
              </w:rPr>
              <w:t xml:space="preserve">US</w:t>
            </w:r>
          </w:p>
        </w:tc>
      </w:tr>
      <w:tr>
        <w:trPr>
          <w:tblHeader w:val="false"/>
        </w:trPr>
        <w:tc>
          <w:tcPr>
            <w:tcW w:type="dxa" w:w="3024"/>
            <w:shd w:fill="FFFFFF" w:val="clear"/>
          </w:tcPr>
          <w:p>
            <w:pPr>
              <w:spacing w:after="80" w:before="80"/>
            </w:pPr>
            <w:r>
              <w:rPr>
                <w:b w:val="false"/>
                <w:bCs w:val="false"/>
                <w:color w:val="1A1A1A"/>
                <w:sz w:val="18"/>
                <w:szCs w:val="18"/>
              </w:rPr>
              <w:t xml:space="preserve">Netlify</w:t>
            </w:r>
          </w:p>
        </w:tc>
        <w:tc>
          <w:tcPr>
            <w:tcW w:type="dxa" w:w="3024"/>
            <w:shd w:fill="FFFFFF" w:val="clear"/>
          </w:tcPr>
          <w:p>
            <w:pPr>
              <w:spacing w:after="80" w:before="80"/>
            </w:pPr>
            <w:r>
              <w:rPr>
                <w:b w:val="false"/>
                <w:bCs w:val="false"/>
                <w:color w:val="1A1A1A"/>
                <w:sz w:val="18"/>
                <w:szCs w:val="18"/>
              </w:rPr>
              <w:t xml:space="preserve">Marketing website hosting and form processing</w:t>
            </w:r>
          </w:p>
        </w:tc>
        <w:tc>
          <w:tcPr>
            <w:tcW w:type="dxa" w:w="3024"/>
            <w:shd w:fill="FFFFFF" w:val="clear"/>
          </w:tcPr>
          <w:p>
            <w:pPr>
              <w:spacing w:after="80" w:before="80"/>
            </w:pPr>
            <w:r>
              <w:rPr>
                <w:b w:val="false"/>
                <w:bCs w:val="false"/>
                <w:color w:val="1A1A1A"/>
                <w:sz w:val="18"/>
                <w:szCs w:val="18"/>
              </w:rPr>
              <w:t xml:space="preserve">US</w:t>
            </w:r>
          </w:p>
        </w:tc>
      </w:tr>
      <w:tr>
        <w:trPr>
          <w:tblHeader w:val="false"/>
        </w:trPr>
        <w:tc>
          <w:tcPr>
            <w:tcW w:type="dxa" w:w="3024"/>
            <w:shd w:fill="FFFFFF" w:val="clear"/>
          </w:tcPr>
          <w:p>
            <w:pPr>
              <w:spacing w:after="80" w:before="80"/>
            </w:pPr>
            <w:r>
              <w:rPr>
                <w:b w:val="false"/>
                <w:bCs w:val="false"/>
                <w:color w:val="1A1A1A"/>
                <w:sz w:val="18"/>
                <w:szCs w:val="18"/>
              </w:rPr>
              <w:t xml:space="preserve">Anthropic</w:t>
            </w:r>
          </w:p>
        </w:tc>
        <w:tc>
          <w:tcPr>
            <w:tcW w:type="dxa" w:w="3024"/>
            <w:shd w:fill="FFFFFF" w:val="clear"/>
          </w:tcPr>
          <w:p>
            <w:pPr>
              <w:spacing w:after="80" w:before="80"/>
            </w:pPr>
            <w:r>
              <w:rPr>
                <w:b w:val="false"/>
                <w:bCs w:val="false"/>
                <w:color w:val="1A1A1A"/>
                <w:sz w:val="18"/>
                <w:szCs w:val="18"/>
              </w:rPr>
              <w:t xml:space="preserve">AI processing for newsletter draft generation (admin feature only)</w:t>
            </w:r>
          </w:p>
        </w:tc>
        <w:tc>
          <w:tcPr>
            <w:tcW w:type="dxa" w:w="3024"/>
            <w:shd w:fill="FFFFFF" w:val="clear"/>
          </w:tcPr>
          <w:p>
            <w:pPr>
              <w:spacing w:after="80" w:before="80"/>
            </w:pPr>
            <w:r>
              <w:rPr>
                <w:b w:val="false"/>
                <w:bCs w:val="false"/>
                <w:color w:val="1A1A1A"/>
                <w:sz w:val="18"/>
                <w:szCs w:val="18"/>
              </w:rPr>
              <w:t xml:space="preserve">US</w:t>
            </w:r>
          </w:p>
        </w:tc>
      </w:tr>
    </w:tbl>
    <w:p>
      <w:pPr>
        <w:spacing w:after="160"/>
      </w:pPr>
    </w:p>
    <w:p>
      <w:pPr>
        <w:spacing w:after="160"/>
        <w:jc w:val="left"/>
      </w:pPr>
      <w:r>
        <w:rPr>
          <w:b w:val="false"/>
          <w:bCs w:val="false"/>
          <w:color w:val="1A1A1A"/>
          <w:sz w:val="20"/>
          <w:szCs w:val="20"/>
        </w:rPr>
        <w:t xml:space="preserve">All data transfers outside the UK are protected by appropriate safeguards including UK adequacy decisions, standard contractual clauses, or the UK International Data Transfer Agreement (IDTA).</w:t>
      </w:r>
    </w:p>
    <w:p>
      <w:pPr>
        <w:pStyle w:val="Heading2"/>
        <w:spacing w:after="120" w:before="320"/>
        <w:rPr>
          <w:b/>
          <w:bCs/>
          <w:color w:val="014D4E"/>
          <w:sz w:val="22"/>
          <w:szCs w:val="22"/>
        </w:rPr>
      </w:pPr>
      <w:r>
        <w:t xml:space="preserve">5. Data retention</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shd w:fill="014D4E" w:val="clear"/>
          </w:tcPr>
          <w:p>
            <w:pPr>
              <w:spacing w:after="80" w:before="80"/>
            </w:pPr>
            <w:r>
              <w:rPr>
                <w:b/>
                <w:bCs/>
                <w:color w:val="FFFFFF"/>
                <w:sz w:val="18"/>
                <w:szCs w:val="18"/>
              </w:rPr>
              <w:t xml:space="preserve">Data type</w:t>
            </w:r>
          </w:p>
        </w:tc>
        <w:tc>
          <w:tcPr>
            <w:tcW w:type="dxa" w:w="4536"/>
            <w:shd w:fill="014D4E" w:val="clear"/>
          </w:tcPr>
          <w:p>
            <w:pPr>
              <w:spacing w:after="80" w:before="80"/>
            </w:pPr>
            <w:r>
              <w:rPr>
                <w:b/>
                <w:bCs/>
                <w:color w:val="FFFFFF"/>
                <w:sz w:val="18"/>
                <w:szCs w:val="18"/>
              </w:rPr>
              <w:t xml:space="preserve">Retention period</w:t>
            </w:r>
          </w:p>
        </w:tc>
      </w:tr>
      <w:tr>
        <w:trPr>
          <w:tblHeader w:val="false"/>
        </w:trPr>
        <w:tc>
          <w:tcPr>
            <w:tcW w:type="dxa" w:w="4536"/>
            <w:shd w:fill="FFFFFF" w:val="clear"/>
          </w:tcPr>
          <w:p>
            <w:pPr>
              <w:spacing w:after="80" w:before="80"/>
            </w:pPr>
            <w:r>
              <w:rPr>
                <w:b w:val="false"/>
                <w:bCs w:val="false"/>
                <w:color w:val="1A1A1A"/>
                <w:sz w:val="18"/>
                <w:szCs w:val="18"/>
              </w:rPr>
              <w:t xml:space="preserve">Marketing website form submissions (Netlify)</w:t>
            </w:r>
          </w:p>
        </w:tc>
        <w:tc>
          <w:tcPr>
            <w:tcW w:type="dxa" w:w="4536"/>
            <w:shd w:fill="FFFFFF" w:val="clear"/>
          </w:tcPr>
          <w:p>
            <w:pPr>
              <w:spacing w:after="80" w:before="80"/>
            </w:pPr>
            <w:r>
              <w:rPr>
                <w:b w:val="false"/>
                <w:bCs w:val="false"/>
                <w:color w:val="1A1A1A"/>
                <w:sz w:val="18"/>
                <w:szCs w:val="18"/>
              </w:rPr>
              <w:t xml:space="preserve">Up to 30 days, then deleted from Netlify</w:t>
            </w:r>
          </w:p>
        </w:tc>
      </w:tr>
      <w:tr>
        <w:trPr>
          <w:tblHeader w:val="false"/>
        </w:trPr>
        <w:tc>
          <w:tcPr>
            <w:tcW w:type="dxa" w:w="4536"/>
            <w:shd w:fill="FFFFFF" w:val="clear"/>
          </w:tcPr>
          <w:p>
            <w:pPr>
              <w:spacing w:after="80" w:before="80"/>
            </w:pPr>
            <w:r>
              <w:rPr>
                <w:b w:val="false"/>
                <w:bCs w:val="false"/>
                <w:color w:val="1A1A1A"/>
                <w:sz w:val="18"/>
                <w:szCs w:val="18"/>
              </w:rPr>
              <w:t xml:space="preserve">Contact and lead records (Supabase)</w:t>
            </w:r>
          </w:p>
        </w:tc>
        <w:tc>
          <w:tcPr>
            <w:tcW w:type="dxa" w:w="4536"/>
            <w:shd w:fill="FFFFFF" w:val="clear"/>
          </w:tcPr>
          <w:p>
            <w:pPr>
              <w:spacing w:after="80" w:before="80"/>
            </w:pPr>
            <w:r>
              <w:rPr>
                <w:b w:val="false"/>
                <w:bCs w:val="false"/>
                <w:color w:val="1A1A1A"/>
                <w:sz w:val="18"/>
                <w:szCs w:val="18"/>
              </w:rPr>
              <w:t xml:space="preserve">Retained until you request deletion</w:t>
            </w:r>
          </w:p>
        </w:tc>
      </w:tr>
      <w:tr>
        <w:trPr>
          <w:tblHeader w:val="false"/>
        </w:trPr>
        <w:tc>
          <w:tcPr>
            <w:tcW w:type="dxa" w:w="4536"/>
            <w:shd w:fill="FFFFFF" w:val="clear"/>
          </w:tcPr>
          <w:p>
            <w:pPr>
              <w:spacing w:after="80" w:before="80"/>
            </w:pPr>
            <w:r>
              <w:rPr>
                <w:b w:val="false"/>
                <w:bCs w:val="false"/>
                <w:color w:val="1A1A1A"/>
                <w:sz w:val="18"/>
                <w:szCs w:val="18"/>
              </w:rPr>
              <w:t xml:space="preserve">Platform account and compliance data</w:t>
            </w:r>
          </w:p>
        </w:tc>
        <w:tc>
          <w:tcPr>
            <w:tcW w:type="dxa" w:w="4536"/>
            <w:shd w:fill="FFFFFF" w:val="clear"/>
          </w:tcPr>
          <w:p>
            <w:pPr>
              <w:spacing w:after="80" w:before="80"/>
            </w:pPr>
            <w:r>
              <w:rPr>
                <w:b w:val="false"/>
                <w:bCs w:val="false"/>
                <w:color w:val="1A1A1A"/>
                <w:sz w:val="18"/>
                <w:szCs w:val="18"/>
              </w:rPr>
              <w:t xml:space="preserve">Retained for the duration of your subscription, plus 30 days after cancellation to allow for data export</w:t>
            </w:r>
          </w:p>
        </w:tc>
      </w:tr>
      <w:tr>
        <w:trPr>
          <w:tblHeader w:val="false"/>
        </w:trPr>
        <w:tc>
          <w:tcPr>
            <w:tcW w:type="dxa" w:w="4536"/>
            <w:shd w:fill="FFFFFF" w:val="clear"/>
          </w:tcPr>
          <w:p>
            <w:pPr>
              <w:spacing w:after="80" w:before="80"/>
            </w:pPr>
            <w:r>
              <w:rPr>
                <w:b w:val="false"/>
                <w:bCs w:val="false"/>
                <w:color w:val="1A1A1A"/>
                <w:sz w:val="18"/>
                <w:szCs w:val="18"/>
              </w:rPr>
              <w:t xml:space="preserve">Support ticket correspondence</w:t>
            </w:r>
          </w:p>
        </w:tc>
        <w:tc>
          <w:tcPr>
            <w:tcW w:type="dxa" w:w="4536"/>
            <w:shd w:fill="FFFFFF" w:val="clear"/>
          </w:tcPr>
          <w:p>
            <w:pPr>
              <w:spacing w:after="80" w:before="80"/>
            </w:pPr>
            <w:r>
              <w:rPr>
                <w:b w:val="false"/>
                <w:bCs w:val="false"/>
                <w:color w:val="1A1A1A"/>
                <w:sz w:val="18"/>
                <w:szCs w:val="18"/>
              </w:rPr>
              <w:t xml:space="preserve">Retained for 3 years</w:t>
            </w:r>
          </w:p>
        </w:tc>
      </w:tr>
      <w:tr>
        <w:trPr>
          <w:tblHeader w:val="false"/>
        </w:trPr>
        <w:tc>
          <w:tcPr>
            <w:tcW w:type="dxa" w:w="4536"/>
            <w:shd w:fill="FFFFFF" w:val="clear"/>
          </w:tcPr>
          <w:p>
            <w:pPr>
              <w:spacing w:after="80" w:before="80"/>
            </w:pPr>
            <w:r>
              <w:rPr>
                <w:b w:val="false"/>
                <w:bCs w:val="false"/>
                <w:color w:val="1A1A1A"/>
                <w:sz w:val="18"/>
                <w:szCs w:val="18"/>
              </w:rPr>
              <w:t xml:space="preserve">Billing records</w:t>
            </w:r>
          </w:p>
        </w:tc>
        <w:tc>
          <w:tcPr>
            <w:tcW w:type="dxa" w:w="4536"/>
            <w:shd w:fill="FFFFFF" w:val="clear"/>
          </w:tcPr>
          <w:p>
            <w:pPr>
              <w:spacing w:after="80" w:before="80"/>
            </w:pPr>
            <w:r>
              <w:rPr>
                <w:b w:val="false"/>
                <w:bCs w:val="false"/>
                <w:color w:val="1A1A1A"/>
                <w:sz w:val="18"/>
                <w:szCs w:val="18"/>
              </w:rPr>
              <w:t xml:space="preserve">Retained for 7 years (legal requirement)</w:t>
            </w:r>
          </w:p>
        </w:tc>
      </w:tr>
    </w:tbl>
    <w:p>
      <w:pPr>
        <w:spacing w:after="160"/>
      </w:pPr>
    </w:p>
    <w:p>
      <w:pPr>
        <w:spacing w:after="160"/>
        <w:jc w:val="left"/>
      </w:pPr>
      <w:r>
        <w:rPr>
          <w:b w:val="false"/>
          <w:bCs w:val="false"/>
          <w:color w:val="1A1A1A"/>
          <w:sz w:val="20"/>
          <w:szCs w:val="20"/>
        </w:rPr>
        <w:t xml:space="preserve">After the post-cancellation retention period, all platform data is permanently deleted unless a longer retention period is required by law.</w:t>
      </w:r>
    </w:p>
    <w:p>
      <w:pPr>
        <w:pStyle w:val="Heading2"/>
        <w:spacing w:after="120" w:before="320"/>
        <w:rPr>
          <w:b/>
          <w:bCs/>
          <w:color w:val="014D4E"/>
          <w:sz w:val="22"/>
          <w:szCs w:val="22"/>
        </w:rPr>
      </w:pPr>
      <w:r>
        <w:t xml:space="preserve">6. Data export</w:t>
      </w:r>
    </w:p>
    <w:p>
      <w:pPr>
        <w:spacing w:after="160"/>
        <w:jc w:val="left"/>
      </w:pPr>
      <w:r>
        <w:rPr>
          <w:b w:val="false"/>
          <w:bCs w:val="false"/>
          <w:color w:val="1A1A1A"/>
          <w:sz w:val="20"/>
          <w:szCs w:val="20"/>
        </w:rPr>
        <w:t xml:space="preserve">You can download a full export of your organisation's compliance data and evidence files at any time from within the platform (Account → Organisation → Export your data). This export is available throughout your subscription and during the 30-day post-cancellation period.</w:t>
      </w:r>
    </w:p>
    <w:p>
      <w:pPr>
        <w:pStyle w:val="Heading2"/>
        <w:spacing w:after="120" w:before="320"/>
        <w:rPr>
          <w:b/>
          <w:bCs/>
          <w:color w:val="014D4E"/>
          <w:sz w:val="22"/>
          <w:szCs w:val="22"/>
        </w:rPr>
      </w:pPr>
      <w:r>
        <w:t xml:space="preserve">7. How to unsubscribe from marketing</w:t>
      </w:r>
    </w:p>
    <w:p>
      <w:pPr>
        <w:spacing w:after="160"/>
        <w:jc w:val="left"/>
      </w:pPr>
      <w:r>
        <w:rPr>
          <w:b w:val="false"/>
          <w:bCs w:val="false"/>
          <w:color w:val="1A1A1A"/>
          <w:sz w:val="20"/>
          <w:szCs w:val="20"/>
        </w:rPr>
        <w:t xml:space="preserve">Click the unsubscribe link in any marketing email, or email support@alwaysready.uk. We will act within 5 working days. Unsubscribing from marketing does not affect transactional emails related to your account or subscription.</w:t>
      </w:r>
    </w:p>
    <w:p>
      <w:pPr>
        <w:pStyle w:val="Heading2"/>
        <w:spacing w:after="120" w:before="320"/>
        <w:rPr>
          <w:b/>
          <w:bCs/>
          <w:color w:val="014D4E"/>
          <w:sz w:val="22"/>
          <w:szCs w:val="22"/>
        </w:rPr>
      </w:pPr>
      <w:r>
        <w:t xml:space="preserve">8. Your rights under UK GDPR</w:t>
      </w:r>
    </w:p>
    <w:p>
      <w:pPr>
        <w:spacing w:after="160"/>
        <w:jc w:val="left"/>
      </w:pPr>
      <w:r>
        <w:rPr>
          <w:b w:val="false"/>
          <w:bCs w:val="false"/>
          <w:color w:val="1A1A1A"/>
          <w:sz w:val="20"/>
          <w:szCs w:val="20"/>
        </w:rPr>
        <w:t xml:space="preserve">You have the right to:</w:t>
      </w:r>
    </w:p>
    <w:p>
      <w:pPr>
        <w:pStyle w:val="ListParagraph"/>
        <w:numPr>
          <w:ilvl w:val="0"/>
          <w:numId w:val="1"/>
        </w:numPr>
        <w:spacing w:after="80"/>
      </w:pPr>
      <w:r>
        <w:rPr>
          <w:color w:val="1A1A1A"/>
          <w:sz w:val="20"/>
          <w:szCs w:val="20"/>
        </w:rPr>
        <w:t xml:space="preserve">Access a copy of the personal data we hold about you</w:t>
      </w:r>
    </w:p>
    <w:p>
      <w:pPr>
        <w:pStyle w:val="ListParagraph"/>
        <w:numPr>
          <w:ilvl w:val="0"/>
          <w:numId w:val="1"/>
        </w:numPr>
        <w:spacing w:after="80"/>
      </w:pPr>
      <w:r>
        <w:rPr>
          <w:color w:val="1A1A1A"/>
          <w:sz w:val="20"/>
          <w:szCs w:val="20"/>
        </w:rPr>
        <w:t xml:space="preserve">Correct inaccurate or incomplete data</w:t>
      </w:r>
    </w:p>
    <w:p>
      <w:pPr>
        <w:pStyle w:val="ListParagraph"/>
        <w:numPr>
          <w:ilvl w:val="0"/>
          <w:numId w:val="1"/>
        </w:numPr>
        <w:spacing w:after="80"/>
      </w:pPr>
      <w:r>
        <w:rPr>
          <w:color w:val="1A1A1A"/>
          <w:sz w:val="20"/>
          <w:szCs w:val="20"/>
        </w:rPr>
        <w:t xml:space="preserve">Delete your personal data (subject to legal retention requirements)</w:t>
      </w:r>
    </w:p>
    <w:p>
      <w:pPr>
        <w:pStyle w:val="ListParagraph"/>
        <w:numPr>
          <w:ilvl w:val="0"/>
          <w:numId w:val="1"/>
        </w:numPr>
        <w:spacing w:after="80"/>
      </w:pPr>
      <w:r>
        <w:rPr>
          <w:color w:val="1A1A1A"/>
          <w:sz w:val="20"/>
          <w:szCs w:val="20"/>
        </w:rPr>
        <w:t xml:space="preserve">Restrict how we process your data</w:t>
      </w:r>
    </w:p>
    <w:p>
      <w:pPr>
        <w:pStyle w:val="ListParagraph"/>
        <w:numPr>
          <w:ilvl w:val="0"/>
          <w:numId w:val="1"/>
        </w:numPr>
        <w:spacing w:after="80"/>
      </w:pPr>
      <w:r>
        <w:rPr>
          <w:color w:val="1A1A1A"/>
          <w:sz w:val="20"/>
          <w:szCs w:val="20"/>
        </w:rPr>
        <w:t xml:space="preserve">Port your data to another service</w:t>
      </w:r>
    </w:p>
    <w:p>
      <w:pPr>
        <w:pStyle w:val="ListParagraph"/>
        <w:numPr>
          <w:ilvl w:val="0"/>
          <w:numId w:val="1"/>
        </w:numPr>
        <w:spacing w:after="80"/>
      </w:pPr>
      <w:r>
        <w:rPr>
          <w:color w:val="1A1A1A"/>
          <w:sz w:val="20"/>
          <w:szCs w:val="20"/>
        </w:rPr>
        <w:t xml:space="preserve">Object to processing based on legitimate interests</w:t>
      </w:r>
    </w:p>
    <w:p>
      <w:pPr>
        <w:pStyle w:val="ListParagraph"/>
        <w:numPr>
          <w:ilvl w:val="0"/>
          <w:numId w:val="1"/>
        </w:numPr>
        <w:spacing w:after="80"/>
      </w:pPr>
      <w:r>
        <w:rPr>
          <w:color w:val="1A1A1A"/>
          <w:sz w:val="20"/>
          <w:szCs w:val="20"/>
        </w:rPr>
        <w:t xml:space="preserve">Withdraw consent at any time where processing is based on consent</w:t>
      </w:r>
    </w:p>
    <w:p>
      <w:pPr>
        <w:spacing w:after="160"/>
        <w:jc w:val="left"/>
      </w:pPr>
      <w:r>
        <w:rPr>
          <w:b w:val="false"/>
          <w:bCs w:val="false"/>
          <w:color w:val="1A1A1A"/>
          <w:sz w:val="20"/>
          <w:szCs w:val="20"/>
        </w:rPr>
        <w:t xml:space="preserve">To exercise any right, contact support@alwaysready.uk. We will respond within one calendar month.</w:t>
      </w:r>
    </w:p>
    <w:p>
      <w:pPr>
        <w:spacing w:after="160"/>
        <w:jc w:val="left"/>
      </w:pPr>
      <w:r>
        <w:rPr>
          <w:b w:val="false"/>
          <w:bCs w:val="false"/>
          <w:color w:val="1A1A1A"/>
          <w:sz w:val="20"/>
          <w:szCs w:val="20"/>
        </w:rPr>
        <w:t xml:space="preserve">If you are unsatisfied with our response, you may complain to the Information Commissioner's Office at ico.org.uk or by calling 0303 123 1113.</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Cookie Policy</w:t>
      </w:r>
    </w:p>
    <w:p>
      <w:pPr>
        <w:spacing w:after="80"/>
      </w:pPr>
      <w:r>
        <w:rPr>
          <w:i/>
          <w:iCs/>
          <w:color w:val="555555"/>
          <w:sz w:val="18"/>
          <w:szCs w:val="18"/>
        </w:rPr>
        <w:t xml:space="preserve">Last updated: July 2026</w:t>
      </w:r>
    </w:p>
    <w:p>
      <w:pPr>
        <w:spacing w:after="160"/>
        <w:jc w:val="left"/>
      </w:pPr>
      <w:r>
        <w:rPr>
          <w:b w:val="false"/>
          <w:bCs w:val="false"/>
          <w:color w:val="1A1A1A"/>
          <w:sz w:val="20"/>
          <w:szCs w:val="20"/>
        </w:rPr>
        <w:t xml:space="preserve">We use essential cookies only. No advertising cookies, no cross-site tracking, no analytics that follow you across the web.</w:t>
      </w:r>
    </w:p>
    <w:p>
      <w:pPr>
        <w:pStyle w:val="Heading2"/>
        <w:spacing w:after="120" w:before="320"/>
        <w:rPr>
          <w:b/>
          <w:bCs/>
          <w:color w:val="014D4E"/>
          <w:sz w:val="22"/>
          <w:szCs w:val="22"/>
        </w:rPr>
      </w:pPr>
      <w:r>
        <w:t xml:space="preserve">Cookies we use</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014D4E" w:val="clear"/>
          </w:tcPr>
          <w:p>
            <w:pPr>
              <w:spacing w:after="80" w:before="80"/>
            </w:pPr>
            <w:r>
              <w:rPr>
                <w:b/>
                <w:bCs/>
                <w:color w:val="FFFFFF"/>
                <w:sz w:val="18"/>
                <w:szCs w:val="18"/>
              </w:rPr>
              <w:t xml:space="preserve">Cookie</w:t>
            </w:r>
          </w:p>
        </w:tc>
        <w:tc>
          <w:tcPr>
            <w:tcW w:type="dxa" w:w="3024"/>
            <w:shd w:fill="014D4E" w:val="clear"/>
          </w:tcPr>
          <w:p>
            <w:pPr>
              <w:spacing w:after="80" w:before="80"/>
            </w:pPr>
            <w:r>
              <w:rPr>
                <w:b/>
                <w:bCs/>
                <w:color w:val="FFFFFF"/>
                <w:sz w:val="18"/>
                <w:szCs w:val="18"/>
              </w:rPr>
              <w:t xml:space="preserve">Purpose</w:t>
            </w:r>
          </w:p>
        </w:tc>
        <w:tc>
          <w:tcPr>
            <w:tcW w:type="dxa" w:w="3024"/>
            <w:shd w:fill="014D4E" w:val="clear"/>
          </w:tcPr>
          <w:p>
            <w:pPr>
              <w:spacing w:after="80" w:before="80"/>
            </w:pPr>
            <w:r>
              <w:rPr>
                <w:b/>
                <w:bCs/>
                <w:color w:val="FFFFFF"/>
                <w:sz w:val="18"/>
                <w:szCs w:val="18"/>
              </w:rPr>
              <w:t xml:space="preserve">Duration</w:t>
            </w:r>
          </w:p>
        </w:tc>
      </w:tr>
      <w:tr>
        <w:trPr>
          <w:tblHeader w:val="false"/>
        </w:trPr>
        <w:tc>
          <w:tcPr>
            <w:tcW w:type="dxa" w:w="3024"/>
            <w:shd w:fill="FFFFFF" w:val="clear"/>
          </w:tcPr>
          <w:p>
            <w:pPr>
              <w:spacing w:after="80" w:before="80"/>
            </w:pPr>
            <w:r>
              <w:rPr>
                <w:b w:val="false"/>
                <w:bCs w:val="false"/>
                <w:color w:val="1A1A1A"/>
                <w:sz w:val="18"/>
                <w:szCs w:val="18"/>
              </w:rPr>
              <w:t xml:space="preserve">ar_cookie_consent</w:t>
            </w:r>
          </w:p>
        </w:tc>
        <w:tc>
          <w:tcPr>
            <w:tcW w:type="dxa" w:w="3024"/>
            <w:shd w:fill="FFFFFF" w:val="clear"/>
          </w:tcPr>
          <w:p>
            <w:pPr>
              <w:spacing w:after="80" w:before="80"/>
            </w:pPr>
            <w:r>
              <w:rPr>
                <w:b w:val="false"/>
                <w:bCs w:val="false"/>
                <w:color w:val="1A1A1A"/>
                <w:sz w:val="18"/>
                <w:szCs w:val="18"/>
              </w:rPr>
              <w:t xml:space="preserve">Remembers your cookie preference so the notice does not reappear</w:t>
            </w:r>
          </w:p>
        </w:tc>
        <w:tc>
          <w:tcPr>
            <w:tcW w:type="dxa" w:w="3024"/>
            <w:shd w:fill="FFFFFF" w:val="clear"/>
          </w:tcPr>
          <w:p>
            <w:pPr>
              <w:spacing w:after="80" w:before="80"/>
            </w:pPr>
            <w:r>
              <w:rPr>
                <w:b w:val="false"/>
                <w:bCs w:val="false"/>
                <w:color w:val="1A1A1A"/>
                <w:sz w:val="18"/>
                <w:szCs w:val="18"/>
              </w:rPr>
              <w:t xml:space="preserve">Until you clear browser storage</w:t>
            </w:r>
          </w:p>
        </w:tc>
      </w:tr>
      <w:tr>
        <w:trPr>
          <w:tblHeader w:val="false"/>
        </w:trPr>
        <w:tc>
          <w:tcPr>
            <w:tcW w:type="dxa" w:w="3024"/>
            <w:shd w:fill="FFFFFF" w:val="clear"/>
          </w:tcPr>
          <w:p>
            <w:pPr>
              <w:spacing w:after="80" w:before="80"/>
            </w:pPr>
            <w:r>
              <w:rPr>
                <w:b w:val="false"/>
                <w:bCs w:val="false"/>
                <w:color w:val="1A1A1A"/>
                <w:sz w:val="18"/>
                <w:szCs w:val="18"/>
              </w:rPr>
              <w:t xml:space="preserve">Netlify Forms session</w:t>
            </w:r>
          </w:p>
        </w:tc>
        <w:tc>
          <w:tcPr>
            <w:tcW w:type="dxa" w:w="3024"/>
            <w:shd w:fill="FFFFFF" w:val="clear"/>
          </w:tcPr>
          <w:p>
            <w:pPr>
              <w:spacing w:after="80" w:before="80"/>
            </w:pPr>
            <w:r>
              <w:rPr>
                <w:b w:val="false"/>
                <w:bCs w:val="false"/>
                <w:color w:val="1A1A1A"/>
                <w:sz w:val="18"/>
                <w:szCs w:val="18"/>
              </w:rPr>
              <w:t xml:space="preserve">Enables secure form submission and spam prevention</w:t>
            </w:r>
          </w:p>
        </w:tc>
        <w:tc>
          <w:tcPr>
            <w:tcW w:type="dxa" w:w="3024"/>
            <w:shd w:fill="FFFFFF" w:val="clear"/>
          </w:tcPr>
          <w:p>
            <w:pPr>
              <w:spacing w:after="80" w:before="80"/>
            </w:pPr>
            <w:r>
              <w:rPr>
                <w:b w:val="false"/>
                <w:bCs w:val="false"/>
                <w:color w:val="1A1A1A"/>
                <w:sz w:val="18"/>
                <w:szCs w:val="18"/>
              </w:rPr>
              <w:t xml:space="preserve">Session only</w:t>
            </w:r>
          </w:p>
        </w:tc>
      </w:tr>
    </w:tbl>
    <w:p>
      <w:pPr>
        <w:spacing w:after="160"/>
      </w:pPr>
    </w:p>
    <w:p>
      <w:pPr>
        <w:pStyle w:val="Heading2"/>
        <w:spacing w:after="120" w:before="320"/>
        <w:rPr>
          <w:b/>
          <w:bCs/>
          <w:color w:val="014D4E"/>
          <w:sz w:val="22"/>
          <w:szCs w:val="22"/>
        </w:rPr>
      </w:pPr>
      <w:r>
        <w:t xml:space="preserve">Third-party services</w:t>
      </w:r>
    </w:p>
    <w:p>
      <w:pPr>
        <w:spacing w:after="160"/>
      </w:pPr>
      <w:r>
        <w:rPr>
          <w:b/>
          <w:bCs/>
          <w:color w:val="1A1A1A"/>
          <w:sz w:val="20"/>
          <w:szCs w:val="20"/>
        </w:rPr>
        <w:t xml:space="preserve">Netlify</w:t>
      </w:r>
      <w:r>
        <w:rPr>
          <w:color w:val="1A1A1A"/>
          <w:sz w:val="20"/>
          <w:szCs w:val="20"/>
        </w:rPr>
        <w:t xml:space="preserve"> hosts the website and processes form submissions. May set session cookies for security.</w:t>
      </w:r>
    </w:p>
    <w:p>
      <w:pPr>
        <w:spacing w:after="160"/>
      </w:pPr>
      <w:r>
        <w:rPr>
          <w:b/>
          <w:bCs/>
          <w:color w:val="1A1A1A"/>
          <w:sz w:val="20"/>
          <w:szCs w:val="20"/>
        </w:rPr>
        <w:t xml:space="preserve">Supabase</w:t>
      </w:r>
      <w:r>
        <w:rPr>
          <w:color w:val="1A1A1A"/>
          <w:sz w:val="20"/>
          <w:szCs w:val="20"/>
        </w:rPr>
        <w:t xml:space="preserve"> stores form submission data and powers the AlwaysReady platform. May set session cookies within the platform.</w:t>
      </w:r>
    </w:p>
    <w:p>
      <w:pPr>
        <w:spacing w:after="160"/>
      </w:pPr>
      <w:r>
        <w:rPr>
          <w:b/>
          <w:bCs/>
          <w:color w:val="1A1A1A"/>
          <w:sz w:val="20"/>
          <w:szCs w:val="20"/>
        </w:rPr>
        <w:t xml:space="preserve">Stripe</w:t>
      </w:r>
      <w:r>
        <w:rPr>
          <w:color w:val="1A1A1A"/>
          <w:sz w:val="20"/>
          <w:szCs w:val="20"/>
        </w:rPr>
        <w:t xml:space="preserve"> processes subscription payments. May set cookies related to payment security.</w:t>
      </w:r>
    </w:p>
    <w:p>
      <w:pPr>
        <w:pStyle w:val="Heading2"/>
        <w:spacing w:after="120" w:before="320"/>
        <w:rPr>
          <w:b/>
          <w:bCs/>
          <w:color w:val="014D4E"/>
          <w:sz w:val="22"/>
          <w:szCs w:val="22"/>
        </w:rPr>
      </w:pPr>
      <w:r>
        <w:t xml:space="preserve">Managing cookies</w:t>
      </w:r>
    </w:p>
    <w:p>
      <w:pPr>
        <w:spacing w:after="160"/>
        <w:jc w:val="left"/>
      </w:pPr>
      <w:r>
        <w:rPr>
          <w:b w:val="false"/>
          <w:bCs w:val="false"/>
          <w:color w:val="1A1A1A"/>
          <w:sz w:val="20"/>
          <w:szCs w:val="20"/>
        </w:rPr>
        <w:t xml:space="preserve">You can manage cookies through your browser settings at any time. Blocking all cookies may affect the ability to submit forms on this site.</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Terms and Conditions</w:t>
      </w:r>
    </w:p>
    <w:p>
      <w:pPr>
        <w:spacing w:after="80"/>
      </w:pPr>
      <w:r>
        <w:rPr>
          <w:i/>
          <w:iCs/>
          <w:color w:val="555555"/>
          <w:sz w:val="18"/>
          <w:szCs w:val="18"/>
        </w:rPr>
        <w:t xml:space="preserve">Last updated: July 2026</w:t>
      </w:r>
    </w:p>
    <w:p>
      <w:pPr>
        <w:pBdr>
          <w:left w:val="single" w:color="B8882A" w:sz="6"/>
        </w:pBdr>
        <w:spacing w:after="120" w:before="80"/>
        <w:ind w:left="200"/>
      </w:pPr>
      <w:r>
        <w:rPr>
          <w:color w:val="7C6F2A"/>
          <w:sz w:val="18"/>
          <w:szCs w:val="18"/>
        </w:rPr>
        <w:t xml:space="preserve">Important: AlwaysReady is an independent company. We are not affiliated with, endorsed by, or connected to the Care Quality Commission (CQC). Use of our tools does not guarantee any particular inspection rating or outcome.</w:t>
      </w:r>
    </w:p>
    <w:p>
      <w:pPr>
        <w:pStyle w:val="Heading2"/>
        <w:spacing w:after="120" w:before="320"/>
        <w:rPr>
          <w:b/>
          <w:bCs/>
          <w:color w:val="014D4E"/>
          <w:sz w:val="22"/>
          <w:szCs w:val="22"/>
        </w:rPr>
      </w:pPr>
      <w:r>
        <w:t xml:space="preserve">1. About AlwaysReady</w:t>
      </w:r>
    </w:p>
    <w:p>
      <w:pPr>
        <w:spacing w:after="160"/>
        <w:jc w:val="left"/>
      </w:pPr>
      <w:r>
        <w:rPr>
          <w:b w:val="false"/>
          <w:bCs w:val="false"/>
          <w:color w:val="1A1A1A"/>
          <w:sz w:val="20"/>
          <w:szCs w:val="20"/>
        </w:rPr>
        <w:t xml:space="preserve">AlwaysReady is a brand of Parker Digital &amp; Print Services, based at 82A James Carter Road, Mildenhall, IP28 7DE. We provide CQC compliance support tools and resources for adult social care managers in the United Kingdom.</w:t>
      </w:r>
    </w:p>
    <w:p>
      <w:pPr>
        <w:spacing w:after="160"/>
        <w:jc w:val="left"/>
      </w:pPr>
      <w:r>
        <w:rPr>
          <w:b w:val="false"/>
          <w:bCs w:val="false"/>
          <w:color w:val="1A1A1A"/>
          <w:sz w:val="20"/>
          <w:szCs w:val="20"/>
        </w:rPr>
        <w:t xml:space="preserve">Contact: support@alwaysready.uk</w:t>
      </w:r>
    </w:p>
    <w:p>
      <w:pPr>
        <w:pStyle w:val="Heading2"/>
        <w:spacing w:after="120" w:before="320"/>
        <w:rPr>
          <w:b/>
          <w:bCs/>
          <w:color w:val="014D4E"/>
          <w:sz w:val="22"/>
          <w:szCs w:val="22"/>
        </w:rPr>
      </w:pPr>
      <w:r>
        <w:t xml:space="preserve">2. Acceptance</w:t>
      </w:r>
    </w:p>
    <w:p>
      <w:pPr>
        <w:spacing w:after="160"/>
        <w:jc w:val="left"/>
      </w:pPr>
      <w:r>
        <w:rPr>
          <w:b w:val="false"/>
          <w:bCs w:val="false"/>
          <w:color w:val="1A1A1A"/>
          <w:sz w:val="20"/>
          <w:szCs w:val="20"/>
        </w:rPr>
        <w:t xml:space="preserve">By using our website or platform you agree to these terms together with our Privacy Policy, Cookie Policy and Acceptable Use Policy. If you do not agree, please do not use our website or services.</w:t>
      </w:r>
    </w:p>
    <w:p>
      <w:pPr>
        <w:spacing w:after="160"/>
        <w:jc w:val="left"/>
      </w:pPr>
      <w:r>
        <w:rPr>
          <w:b w:val="false"/>
          <w:bCs w:val="false"/>
          <w:color w:val="1A1A1A"/>
          <w:sz w:val="20"/>
          <w:szCs w:val="20"/>
        </w:rPr>
        <w:t xml:space="preserve">By starting a free trial, you confirm that you have read and accepted these Terms and Conditions. The date and version of your acceptance is recorded on your account.</w:t>
      </w:r>
    </w:p>
    <w:p>
      <w:pPr>
        <w:pStyle w:val="Heading2"/>
        <w:spacing w:after="120" w:before="320"/>
        <w:rPr>
          <w:b/>
          <w:bCs/>
          <w:color w:val="014D4E"/>
          <w:sz w:val="22"/>
          <w:szCs w:val="22"/>
        </w:rPr>
      </w:pPr>
      <w:r>
        <w:t xml:space="preserve">3. Permitted use</w:t>
      </w:r>
    </w:p>
    <w:p>
      <w:pPr>
        <w:spacing w:after="160"/>
        <w:jc w:val="left"/>
      </w:pPr>
      <w:r>
        <w:rPr>
          <w:b w:val="false"/>
          <w:bCs w:val="false"/>
          <w:color w:val="1A1A1A"/>
          <w:sz w:val="20"/>
          <w:szCs w:val="20"/>
        </w:rPr>
        <w:t xml:space="preserve">You may use our website and platform for lawful purposes only. You must not attempt to gain unauthorised access, transmit unsolicited communications, or damage or disrupt the website, platform or its infrastructure. See our Acceptable Use Policy for full details.</w:t>
      </w:r>
    </w:p>
    <w:p>
      <w:pPr>
        <w:pStyle w:val="Heading2"/>
        <w:spacing w:after="120" w:before="320"/>
        <w:rPr>
          <w:b/>
          <w:bCs/>
          <w:color w:val="014D4E"/>
          <w:sz w:val="22"/>
          <w:szCs w:val="22"/>
        </w:rPr>
      </w:pPr>
      <w:r>
        <w:t xml:space="preserve">4. Free resources</w:t>
      </w:r>
    </w:p>
    <w:p>
      <w:pPr>
        <w:spacing w:after="160"/>
        <w:jc w:val="left"/>
      </w:pPr>
      <w:r>
        <w:rPr>
          <w:b w:val="false"/>
          <w:bCs w:val="false"/>
          <w:color w:val="1A1A1A"/>
          <w:sz w:val="20"/>
          <w:szCs w:val="20"/>
        </w:rPr>
        <w:t xml:space="preserve">Free resources and tools provided by AlwaysReady are for your own internal professional use only. You may not reproduce, distribute or commercially exploit them without written permission.</w:t>
      </w:r>
    </w:p>
    <w:p>
      <w:pPr>
        <w:pStyle w:val="Heading2"/>
        <w:spacing w:after="120" w:before="320"/>
        <w:rPr>
          <w:b/>
          <w:bCs/>
          <w:color w:val="014D4E"/>
          <w:sz w:val="22"/>
          <w:szCs w:val="22"/>
        </w:rPr>
      </w:pPr>
      <w:r>
        <w:t xml:space="preserve">5. Free trial</w:t>
      </w:r>
    </w:p>
    <w:p>
      <w:pPr>
        <w:spacing w:after="160"/>
        <w:jc w:val="left"/>
      </w:pPr>
      <w:r>
        <w:rPr>
          <w:b w:val="false"/>
          <w:bCs w:val="false"/>
          <w:color w:val="1A1A1A"/>
          <w:sz w:val="20"/>
          <w:szCs w:val="20"/>
        </w:rPr>
        <w:t xml:space="preserve">We offer a 14-day free trial of the AlwaysReady platform. No payment details are required to start a trial.</w:t>
      </w:r>
    </w:p>
    <w:p>
      <w:pPr>
        <w:spacing w:after="160"/>
        <w:jc w:val="left"/>
      </w:pPr>
      <w:r>
        <w:rPr>
          <w:b w:val="false"/>
          <w:bCs w:val="false"/>
          <w:color w:val="1A1A1A"/>
          <w:sz w:val="20"/>
          <w:szCs w:val="20"/>
        </w:rPr>
        <w:t xml:space="preserve">At the end of your trial period, your account will remain accessible but features may be restricted until a subscription is activated. We will not charge you automatically at the end of a trial.</w:t>
      </w:r>
    </w:p>
    <w:p>
      <w:pPr>
        <w:spacing w:after="160"/>
        <w:jc w:val="left"/>
      </w:pPr>
      <w:r>
        <w:rPr>
          <w:b w:val="false"/>
          <w:bCs w:val="false"/>
          <w:color w:val="1A1A1A"/>
          <w:sz w:val="20"/>
          <w:szCs w:val="20"/>
        </w:rPr>
        <w:t xml:space="preserve">Trial accounts are subject to these Terms and Conditions, including the Acceptable Use Policy.</w:t>
      </w:r>
    </w:p>
    <w:p>
      <w:pPr>
        <w:pStyle w:val="Heading2"/>
        <w:spacing w:after="120" w:before="320"/>
        <w:rPr>
          <w:b/>
          <w:bCs/>
          <w:color w:val="014D4E"/>
          <w:sz w:val="22"/>
          <w:szCs w:val="22"/>
        </w:rPr>
      </w:pPr>
      <w:r>
        <w:t xml:space="preserve">6. Subscriptions</w:t>
      </w:r>
    </w:p>
    <w:p>
      <w:pPr>
        <w:spacing w:after="160"/>
        <w:jc w:val="left"/>
      </w:pPr>
      <w:r>
        <w:rPr>
          <w:b w:val="false"/>
          <w:bCs w:val="false"/>
          <w:color w:val="1A1A1A"/>
          <w:sz w:val="20"/>
          <w:szCs w:val="20"/>
        </w:rPr>
        <w:t xml:space="preserve">AlwaysReady subscriptions are offered on a monthly Pay As You Go basis.</w:t>
      </w:r>
    </w:p>
    <w:p>
      <w:pPr>
        <w:pStyle w:val="ListParagraph"/>
        <w:numPr>
          <w:ilvl w:val="0"/>
          <w:numId w:val="1"/>
        </w:numPr>
        <w:spacing w:after="80"/>
      </w:pPr>
      <w:r>
        <w:rPr>
          <w:color w:val="1A1A1A"/>
          <w:sz w:val="20"/>
          <w:szCs w:val="20"/>
        </w:rPr>
        <w:t xml:space="preserve">Subscriptions are processed and managed through Stripe. You agree to Stripe's terms in addition to these terms.</w:t>
      </w:r>
    </w:p>
    <w:p>
      <w:pPr>
        <w:pStyle w:val="ListParagraph"/>
        <w:numPr>
          <w:ilvl w:val="0"/>
          <w:numId w:val="1"/>
        </w:numPr>
        <w:spacing w:after="80"/>
      </w:pPr>
      <w:r>
        <w:rPr>
          <w:color w:val="1A1A1A"/>
          <w:sz w:val="20"/>
          <w:szCs w:val="20"/>
        </w:rPr>
        <w:t xml:space="preserve">AlwaysReady does not process or store card details directly.</w:t>
      </w:r>
    </w:p>
    <w:p>
      <w:pPr>
        <w:pStyle w:val="ListParagraph"/>
        <w:numPr>
          <w:ilvl w:val="0"/>
          <w:numId w:val="1"/>
        </w:numPr>
        <w:spacing w:after="80"/>
      </w:pPr>
      <w:r>
        <w:rPr>
          <w:color w:val="1A1A1A"/>
          <w:sz w:val="20"/>
          <w:szCs w:val="20"/>
        </w:rPr>
        <w:t xml:space="preserve">Your subscription renews automatically each month unless cancelled.</w:t>
      </w:r>
    </w:p>
    <w:p>
      <w:pPr>
        <w:pStyle w:val="ListParagraph"/>
        <w:numPr>
          <w:ilvl w:val="0"/>
          <w:numId w:val="1"/>
        </w:numPr>
        <w:spacing w:after="80"/>
      </w:pPr>
      <w:r>
        <w:rPr>
          <w:color w:val="1A1A1A"/>
          <w:sz w:val="20"/>
          <w:szCs w:val="20"/>
        </w:rPr>
        <w:t xml:space="preserve">You may cancel at any time through the platform (Account → Billing → Cancel my subscription) or by emailing support@alwaysready.uk.</w:t>
      </w:r>
    </w:p>
    <w:p>
      <w:pPr>
        <w:pStyle w:val="ListParagraph"/>
        <w:numPr>
          <w:ilvl w:val="0"/>
          <w:numId w:val="1"/>
        </w:numPr>
        <w:spacing w:after="80"/>
      </w:pPr>
      <w:r>
        <w:rPr>
          <w:color w:val="1A1A1A"/>
          <w:sz w:val="20"/>
          <w:szCs w:val="20"/>
        </w:rPr>
        <w:t xml:space="preserve">See our Cancellation Policy for full details of what happens to your access and data after cancellation.</w:t>
      </w:r>
    </w:p>
    <w:p>
      <w:pPr>
        <w:spacing w:after="160"/>
      </w:pPr>
      <w:r>
        <w:rPr>
          <w:b/>
          <w:bCs/>
          <w:color w:val="1A1A1A"/>
          <w:sz w:val="20"/>
          <w:szCs w:val="20"/>
        </w:rPr>
        <w:t xml:space="preserve">Charity discount:</w:t>
      </w:r>
      <w:r>
        <w:rPr>
          <w:color w:val="1A1A1A"/>
          <w:sz w:val="20"/>
          <w:szCs w:val="20"/>
        </w:rPr>
        <w:t xml:space="preserve"> Registered charities may be eligible for a reduced subscription rate. Contact support@alwaysready.uk with your registered charity number to apply. We reserve the right to request evidence of charitable status before applying any discount.</w:t>
      </w:r>
    </w:p>
    <w:p>
      <w:pPr>
        <w:pStyle w:val="Heading2"/>
        <w:spacing w:after="120" w:before="320"/>
        <w:rPr>
          <w:b/>
          <w:bCs/>
          <w:color w:val="014D4E"/>
          <w:sz w:val="22"/>
          <w:szCs w:val="22"/>
        </w:rPr>
      </w:pPr>
      <w:r>
        <w:t xml:space="preserve">7. Platform access and user accounts</w:t>
      </w:r>
    </w:p>
    <w:p>
      <w:pPr>
        <w:spacing w:after="160"/>
      </w:pPr>
      <w:r>
        <w:rPr>
          <w:b/>
          <w:bCs/>
          <w:color w:val="1A1A1A"/>
          <w:sz w:val="20"/>
          <w:szCs w:val="20"/>
        </w:rPr>
        <w:t xml:space="preserve">Organisation accounts — </w:t>
      </w:r>
      <w:r>
        <w:rPr>
          <w:color w:val="1A1A1A"/>
          <w:sz w:val="20"/>
          <w:szCs w:val="20"/>
        </w:rPr>
        <w:t xml:space="preserve">The organisation admin is responsible for all activity under the organisation account, including activity by team members and visitor accounts they create.</w:t>
      </w:r>
    </w:p>
    <w:p>
      <w:pPr>
        <w:spacing w:after="160"/>
      </w:pPr>
      <w:r>
        <w:rPr>
          <w:b/>
          <w:bCs/>
          <w:color w:val="1A1A1A"/>
          <w:sz w:val="20"/>
          <w:szCs w:val="20"/>
        </w:rPr>
        <w:t xml:space="preserve">Team members — </w:t>
      </w:r>
      <w:r>
        <w:rPr>
          <w:color w:val="1A1A1A"/>
          <w:sz w:val="20"/>
          <w:szCs w:val="20"/>
        </w:rPr>
        <w:t xml:space="preserve">Admins may invite team members to the platform. Team members have access within the role permissions assigned by the admin (Admin, User or Viewer). See the Help section within the platform for a description of each role.</w:t>
      </w:r>
    </w:p>
    <w:p>
      <w:pPr>
        <w:spacing w:after="160"/>
      </w:pPr>
      <w:r>
        <w:rPr>
          <w:b/>
          <w:bCs/>
          <w:color w:val="1A1A1A"/>
          <w:sz w:val="20"/>
          <w:szCs w:val="20"/>
        </w:rPr>
        <w:t xml:space="preserve">Visitor accounts — </w:t>
      </w:r>
      <w:r>
        <w:rPr>
          <w:color w:val="1A1A1A"/>
          <w:sz w:val="20"/>
          <w:szCs w:val="20"/>
        </w:rPr>
        <w:t xml:space="preserve">Admins may create time-limited read-only visitor accounts for CQC inspectors, board members or other authorised external parties. Visitor access expires automatically on the date set by the admin.</w:t>
      </w:r>
    </w:p>
    <w:p>
      <w:pPr>
        <w:spacing w:after="160"/>
      </w:pPr>
      <w:r>
        <w:rPr>
          <w:b/>
          <w:bCs/>
          <w:color w:val="1A1A1A"/>
          <w:sz w:val="20"/>
          <w:szCs w:val="20"/>
        </w:rPr>
        <w:t xml:space="preserve">Account security — </w:t>
      </w:r>
      <w:r>
        <w:rPr>
          <w:color w:val="1A1A1A"/>
          <w:sz w:val="20"/>
          <w:szCs w:val="20"/>
        </w:rPr>
        <w:t xml:space="preserve">You are responsible for maintaining the confidentiality of your login credentials. Notify us immediately at support@alwaysready.uk if you suspect any unauthorised access to your account.</w:t>
      </w:r>
    </w:p>
    <w:p>
      <w:pPr>
        <w:pStyle w:val="Heading2"/>
        <w:spacing w:after="120" w:before="320"/>
        <w:rPr>
          <w:b/>
          <w:bCs/>
          <w:color w:val="014D4E"/>
          <w:sz w:val="22"/>
          <w:szCs w:val="22"/>
        </w:rPr>
      </w:pPr>
      <w:r>
        <w:t xml:space="preserve">8. Data and your responsibilities</w:t>
      </w:r>
    </w:p>
    <w:p>
      <w:pPr>
        <w:spacing w:after="160"/>
        <w:jc w:val="left"/>
      </w:pPr>
      <w:r>
        <w:rPr>
          <w:b w:val="false"/>
          <w:bCs w:val="false"/>
          <w:color w:val="1A1A1A"/>
          <w:sz w:val="20"/>
          <w:szCs w:val="20"/>
        </w:rPr>
        <w:t xml:space="preserve">Your organisation is the data controller for the personal data of your staff members and any other individuals whose data you enter into the platform. AlwaysReady processes this data on your instructions as a data processor.</w:t>
      </w:r>
    </w:p>
    <w:p>
      <w:pPr>
        <w:spacing w:after="160"/>
        <w:jc w:val="left"/>
      </w:pPr>
      <w:r>
        <w:rPr>
          <w:b w:val="false"/>
          <w:bCs w:val="false"/>
          <w:color w:val="1A1A1A"/>
          <w:sz w:val="20"/>
          <w:szCs w:val="20"/>
        </w:rPr>
        <w:t xml:space="preserve">You are responsible for:</w:t>
      </w:r>
    </w:p>
    <w:p>
      <w:pPr>
        <w:pStyle w:val="ListParagraph"/>
        <w:numPr>
          <w:ilvl w:val="0"/>
          <w:numId w:val="1"/>
        </w:numPr>
        <w:spacing w:after="80"/>
      </w:pPr>
      <w:r>
        <w:rPr>
          <w:color w:val="1A1A1A"/>
          <w:sz w:val="20"/>
          <w:szCs w:val="20"/>
        </w:rPr>
        <w:t xml:space="preserve">Ensuring you have a lawful basis to enter personal data into the platform</w:t>
      </w:r>
    </w:p>
    <w:p>
      <w:pPr>
        <w:pStyle w:val="ListParagraph"/>
        <w:numPr>
          <w:ilvl w:val="0"/>
          <w:numId w:val="1"/>
        </w:numPr>
        <w:spacing w:after="80"/>
      </w:pPr>
      <w:r>
        <w:rPr>
          <w:color w:val="1A1A1A"/>
          <w:sz w:val="20"/>
          <w:szCs w:val="20"/>
        </w:rPr>
        <w:t xml:space="preserve">Ensuring relevant individuals have been informed that their data may be stored in the platform</w:t>
      </w:r>
    </w:p>
    <w:p>
      <w:pPr>
        <w:pStyle w:val="ListParagraph"/>
        <w:numPr>
          <w:ilvl w:val="0"/>
          <w:numId w:val="1"/>
        </w:numPr>
        <w:spacing w:after="80"/>
      </w:pPr>
      <w:r>
        <w:rPr>
          <w:color w:val="1A1A1A"/>
          <w:sz w:val="20"/>
          <w:szCs w:val="20"/>
        </w:rPr>
        <w:t xml:space="preserve">Maintaining the accuracy of data entered into the platform</w:t>
      </w:r>
    </w:p>
    <w:p>
      <w:pPr>
        <w:spacing w:after="160"/>
        <w:jc w:val="left"/>
      </w:pPr>
      <w:r>
        <w:rPr>
          <w:b w:val="false"/>
          <w:bCs w:val="false"/>
          <w:color w:val="1A1A1A"/>
          <w:sz w:val="20"/>
          <w:szCs w:val="20"/>
        </w:rPr>
        <w:t xml:space="preserve">A Data Processing Agreement (DPA) governing AlwaysReady's role as data processor is available on request at support@alwaysready.uk. For organisations with formal data governance requirements, we recommend requesting a signed DPA before commencing use of the platform.</w:t>
      </w:r>
    </w:p>
    <w:p>
      <w:pPr>
        <w:pStyle w:val="Heading2"/>
        <w:spacing w:after="120" w:before="320"/>
        <w:rPr>
          <w:b/>
          <w:bCs/>
          <w:color w:val="014D4E"/>
          <w:sz w:val="22"/>
          <w:szCs w:val="22"/>
        </w:rPr>
      </w:pPr>
      <w:r>
        <w:t xml:space="preserve">9. Data export</w:t>
      </w:r>
    </w:p>
    <w:p>
      <w:pPr>
        <w:spacing w:after="160"/>
        <w:jc w:val="left"/>
      </w:pPr>
      <w:r>
        <w:rPr>
          <w:b w:val="false"/>
          <w:bCs w:val="false"/>
          <w:color w:val="1A1A1A"/>
          <w:sz w:val="20"/>
          <w:szCs w:val="20"/>
        </w:rPr>
        <w:t xml:space="preserve">You may export your organisation's compliance data and evidence files at any time from within the platform (Account → Organisation → Export your data). We encourage you to take regular exports as part of your own data governance practices.</w:t>
      </w:r>
    </w:p>
    <w:p>
      <w:pPr>
        <w:pStyle w:val="Heading2"/>
        <w:spacing w:after="120" w:before="320"/>
        <w:rPr>
          <w:b/>
          <w:bCs/>
          <w:color w:val="014D4E"/>
          <w:sz w:val="22"/>
          <w:szCs w:val="22"/>
        </w:rPr>
      </w:pPr>
      <w:r>
        <w:t xml:space="preserve">10. AI-assisted features</w:t>
      </w:r>
    </w:p>
    <w:p>
      <w:pPr>
        <w:spacing w:after="160"/>
        <w:jc w:val="left"/>
      </w:pPr>
      <w:r>
        <w:rPr>
          <w:b w:val="false"/>
          <w:bCs w:val="false"/>
          <w:color w:val="1A1A1A"/>
          <w:sz w:val="20"/>
          <w:szCs w:val="20"/>
        </w:rPr>
        <w:t xml:space="preserve">The platform includes an AI-assisted newsletter drafting tool available to organisation admins. Drafts are generated using Anthropic's Claude API based on the topics and content you provide.</w:t>
      </w:r>
    </w:p>
    <w:p>
      <w:pPr>
        <w:spacing w:after="160"/>
        <w:jc w:val="left"/>
      </w:pPr>
      <w:r>
        <w:rPr>
          <w:b w:val="false"/>
          <w:bCs w:val="false"/>
          <w:color w:val="1A1A1A"/>
          <w:sz w:val="20"/>
          <w:szCs w:val="20"/>
        </w:rPr>
        <w:t xml:space="preserve">By using this feature you agree that:</w:t>
      </w:r>
    </w:p>
    <w:p>
      <w:pPr>
        <w:pStyle w:val="ListParagraph"/>
        <w:numPr>
          <w:ilvl w:val="0"/>
          <w:numId w:val="1"/>
        </w:numPr>
        <w:spacing w:after="80"/>
      </w:pPr>
      <w:r>
        <w:rPr>
          <w:color w:val="1A1A1A"/>
          <w:sz w:val="20"/>
          <w:szCs w:val="20"/>
        </w:rPr>
        <w:t xml:space="preserve">You will not enter personal details of residents, patients, families or individual staff members into the drafting tool</w:t>
      </w:r>
    </w:p>
    <w:p>
      <w:pPr>
        <w:pStyle w:val="ListParagraph"/>
        <w:numPr>
          <w:ilvl w:val="0"/>
          <w:numId w:val="1"/>
        </w:numPr>
        <w:spacing w:after="80"/>
      </w:pPr>
      <w:r>
        <w:rPr>
          <w:color w:val="1A1A1A"/>
          <w:sz w:val="20"/>
          <w:szCs w:val="20"/>
        </w:rPr>
        <w:t xml:space="preserve">All AI-generated output is a draft only — you are solely responsible for reviewing, editing and approving any content before use</w:t>
      </w:r>
    </w:p>
    <w:p>
      <w:pPr>
        <w:pStyle w:val="ListParagraph"/>
        <w:numPr>
          <w:ilvl w:val="0"/>
          <w:numId w:val="1"/>
        </w:numPr>
        <w:spacing w:after="80"/>
      </w:pPr>
      <w:r>
        <w:rPr>
          <w:color w:val="1A1A1A"/>
          <w:sz w:val="20"/>
          <w:szCs w:val="20"/>
        </w:rPr>
        <w:t xml:space="preserve">AlwaysReady does not send newsletters or communications on your behalf; the output is for your own use</w:t>
      </w:r>
    </w:p>
    <w:p>
      <w:pPr>
        <w:pStyle w:val="ListParagraph"/>
        <w:numPr>
          <w:ilvl w:val="0"/>
          <w:numId w:val="1"/>
        </w:numPr>
        <w:spacing w:after="80"/>
      </w:pPr>
      <w:r>
        <w:rPr>
          <w:color w:val="1A1A1A"/>
          <w:sz w:val="20"/>
          <w:szCs w:val="20"/>
        </w:rPr>
        <w:t xml:space="preserve">AI-generated content may contain inaccuracies and should not be published without review</w:t>
      </w:r>
    </w:p>
    <w:p>
      <w:pPr>
        <w:spacing w:after="160"/>
        <w:jc w:val="left"/>
      </w:pPr>
      <w:r>
        <w:rPr>
          <w:b w:val="false"/>
          <w:bCs w:val="false"/>
          <w:color w:val="1A1A1A"/>
          <w:sz w:val="20"/>
          <w:szCs w:val="20"/>
        </w:rPr>
        <w:t xml:space="preserve">AlwaysReady is not liable for any losses or claims arising from the use of AI-generated draft content.</w:t>
      </w:r>
    </w:p>
    <w:p>
      <w:pPr>
        <w:pStyle w:val="Heading2"/>
        <w:spacing w:after="120" w:before="320"/>
        <w:rPr>
          <w:b/>
          <w:bCs/>
          <w:color w:val="014D4E"/>
          <w:sz w:val="22"/>
          <w:szCs w:val="22"/>
        </w:rPr>
      </w:pPr>
      <w:r>
        <w:t xml:space="preserve">11. Service availability</w:t>
      </w:r>
    </w:p>
    <w:p>
      <w:pPr>
        <w:spacing w:after="160"/>
        <w:jc w:val="left"/>
      </w:pPr>
      <w:r>
        <w:rPr>
          <w:b w:val="false"/>
          <w:bCs w:val="false"/>
          <w:color w:val="1A1A1A"/>
          <w:sz w:val="20"/>
          <w:szCs w:val="20"/>
        </w:rPr>
        <w:t xml:space="preserve">We aim to maintain platform availability at all times but do not guarantee uninterrupted access. Planned maintenance will be communicated where reasonably practicable. We are not liable for losses arising from temporary unavailability of the platform.</w:t>
      </w:r>
    </w:p>
    <w:p>
      <w:pPr>
        <w:pStyle w:val="Heading2"/>
        <w:spacing w:after="120" w:before="320"/>
        <w:rPr>
          <w:b/>
          <w:bCs/>
          <w:color w:val="014D4E"/>
          <w:sz w:val="22"/>
          <w:szCs w:val="22"/>
        </w:rPr>
      </w:pPr>
      <w:r>
        <w:t xml:space="preserve">12. CQC data</w:t>
      </w:r>
    </w:p>
    <w:p>
      <w:pPr>
        <w:spacing w:after="160"/>
        <w:jc w:val="left"/>
      </w:pPr>
      <w:r>
        <w:rPr>
          <w:b w:val="false"/>
          <w:bCs w:val="false"/>
          <w:color w:val="1A1A1A"/>
          <w:sz w:val="20"/>
          <w:szCs w:val="20"/>
        </w:rPr>
        <w:t xml:space="preserve">At signup, we automatically retrieve publicly available information about your organisation from the CQC's public register, including your current CQC rating and inspection history. This data is sourced from the official CQC API and displayed within your dashboard for reference purposes. It does not constitute official CQC guidance.</w:t>
      </w:r>
    </w:p>
    <w:p>
      <w:pPr>
        <w:pStyle w:val="Heading2"/>
        <w:spacing w:after="120" w:before="320"/>
        <w:rPr>
          <w:b/>
          <w:bCs/>
          <w:color w:val="014D4E"/>
          <w:sz w:val="22"/>
          <w:szCs w:val="22"/>
        </w:rPr>
      </w:pPr>
      <w:r>
        <w:t xml:space="preserve">13. Intellectual property</w:t>
      </w:r>
    </w:p>
    <w:p>
      <w:pPr>
        <w:spacing w:after="160"/>
        <w:jc w:val="left"/>
      </w:pPr>
      <w:r>
        <w:rPr>
          <w:b w:val="false"/>
          <w:bCs w:val="false"/>
          <w:color w:val="1A1A1A"/>
          <w:sz w:val="20"/>
          <w:szCs w:val="20"/>
        </w:rPr>
        <w:t xml:space="preserve">All content on this website and within our platform — including KLOE frameworks, evidence mappings, checklists, dashboard structures, guides and branding — is the intellectual property of AlwaysReady (Parker Digital &amp; Print Services) unless otherwise stated. Data your organisation enters into the platform remains your organisation's property at all times.</w:t>
      </w:r>
    </w:p>
    <w:p>
      <w:pPr>
        <w:pStyle w:val="Heading2"/>
        <w:spacing w:after="120" w:before="320"/>
        <w:rPr>
          <w:b/>
          <w:bCs/>
          <w:color w:val="014D4E"/>
          <w:sz w:val="22"/>
          <w:szCs w:val="22"/>
        </w:rPr>
      </w:pPr>
      <w:r>
        <w:t xml:space="preserve">14. Disclaimer and limitation of liability</w:t>
      </w:r>
    </w:p>
    <w:p>
      <w:pPr>
        <w:spacing w:after="160"/>
        <w:jc w:val="left"/>
      </w:pPr>
      <w:r>
        <w:rPr>
          <w:b w:val="false"/>
          <w:bCs w:val="false"/>
          <w:color w:val="1A1A1A"/>
          <w:sz w:val="20"/>
          <w:szCs w:val="20"/>
        </w:rPr>
        <w:t xml:space="preserve">Our tools are provided for guidance and self-assessment purposes only. We make no warranties as to their completeness, accuracy or fitness for any particular purpose. To the fullest extent permitted by law, AlwaysReady shall not be liable for indirect, consequential or special losses, or any losses arising from reliance on our tools or any CQC inspection outcome.</w:t>
      </w:r>
    </w:p>
    <w:p>
      <w:pPr>
        <w:spacing w:after="160"/>
      </w:pPr>
      <w:r>
        <w:rPr>
          <w:b/>
          <w:bCs/>
          <w:color w:val="1A1A1A"/>
          <w:sz w:val="20"/>
          <w:szCs w:val="20"/>
        </w:rPr>
        <w:t xml:space="preserve">Readiness scores and RAG status </w:t>
      </w:r>
      <w:r>
        <w:rPr>
          <w:color w:val="1A1A1A"/>
          <w:sz w:val="20"/>
          <w:szCs w:val="20"/>
        </w:rPr>
        <w:t xml:space="preserve">are calculated entirely from information your team enters into the platform. They are self-assessment indicators and are not the result of an independent audit. They do not predict, guarantee or influence any CQC inspection rating.</w:t>
      </w:r>
    </w:p>
    <w:p>
      <w:pPr>
        <w:spacing w:after="160"/>
      </w:pPr>
      <w:r>
        <w:rPr>
          <w:b/>
          <w:bCs/>
          <w:color w:val="1A1A1A"/>
          <w:sz w:val="20"/>
          <w:szCs w:val="20"/>
        </w:rPr>
        <w:t xml:space="preserve">Inspection packs </w:t>
      </w:r>
      <w:r>
        <w:rPr>
          <w:color w:val="1A1A1A"/>
          <w:sz w:val="20"/>
          <w:szCs w:val="20"/>
        </w:rPr>
        <w:t xml:space="preserve">generated by the platform are a self-compiled summary of the records your organisation has entered. They are not a certification of compliance, an audit report or an independent assessment of inspection readiness. Your organisation is solely responsible for the accuracy and completeness of information entered into the platform.</w:t>
      </w:r>
    </w:p>
    <w:p>
      <w:pPr>
        <w:spacing w:after="160"/>
      </w:pPr>
      <w:r>
        <w:rPr>
          <w:b/>
          <w:bCs/>
          <w:color w:val="1A1A1A"/>
          <w:sz w:val="20"/>
          <w:szCs w:val="20"/>
        </w:rPr>
        <w:t xml:space="preserve">AlwaysReady does not guarantee any particular CQC inspection outcome. </w:t>
      </w:r>
      <w:r>
        <w:rPr>
          <w:color w:val="1A1A1A"/>
          <w:sz w:val="20"/>
          <w:szCs w:val="20"/>
        </w:rPr>
        <w:t xml:space="preserve">CQC ratings depend on a wide range of factors outside our knowledge or control, including how your team performs on inspection day and how CQC inspectors assess evidence against the standards.</w:t>
      </w:r>
    </w:p>
    <w:p>
      <w:pPr>
        <w:pStyle w:val="Heading2"/>
        <w:spacing w:after="120" w:before="320"/>
        <w:rPr>
          <w:b/>
          <w:bCs/>
          <w:color w:val="014D4E"/>
          <w:sz w:val="22"/>
          <w:szCs w:val="22"/>
        </w:rPr>
      </w:pPr>
      <w:r>
        <w:t xml:space="preserve">15. Changes to these terms</w:t>
      </w:r>
    </w:p>
    <w:p>
      <w:pPr>
        <w:spacing w:after="160"/>
        <w:jc w:val="left"/>
      </w:pPr>
      <w:r>
        <w:rPr>
          <w:b w:val="false"/>
          <w:bCs w:val="false"/>
          <w:color w:val="1A1A1A"/>
          <w:sz w:val="20"/>
          <w:szCs w:val="20"/>
        </w:rPr>
        <w:t xml:space="preserve">We may update these terms from time to time. We will notify active subscribers of any material changes by email with at least 14 days' notice. Continued use of the platform after that date constitutes acceptance of the updated terms.</w:t>
      </w:r>
    </w:p>
    <w:p>
      <w:pPr>
        <w:pStyle w:val="Heading2"/>
        <w:spacing w:after="120" w:before="320"/>
        <w:rPr>
          <w:b/>
          <w:bCs/>
          <w:color w:val="014D4E"/>
          <w:sz w:val="22"/>
          <w:szCs w:val="22"/>
        </w:rPr>
      </w:pPr>
      <w:r>
        <w:t xml:space="preserve">16. Governing law</w:t>
      </w:r>
    </w:p>
    <w:p>
      <w:pPr>
        <w:spacing w:after="160"/>
        <w:jc w:val="left"/>
      </w:pPr>
      <w:r>
        <w:rPr>
          <w:b w:val="false"/>
          <w:bCs w:val="false"/>
          <w:color w:val="1A1A1A"/>
          <w:sz w:val="20"/>
          <w:szCs w:val="20"/>
        </w:rPr>
        <w:t xml:space="preserve">These terms are governed by the laws of England and Wales. Any disputes shall be subject to the exclusive jurisdiction of the courts of England and Wales.</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Acceptable Use Policy</w:t>
      </w:r>
    </w:p>
    <w:p>
      <w:pPr>
        <w:spacing w:after="80"/>
      </w:pPr>
      <w:r>
        <w:rPr>
          <w:i/>
          <w:iCs/>
          <w:color w:val="555555"/>
          <w:sz w:val="18"/>
          <w:szCs w:val="18"/>
        </w:rPr>
        <w:t xml:space="preserve">Last updated: July 2026</w:t>
      </w:r>
    </w:p>
    <w:p>
      <w:pPr>
        <w:pStyle w:val="Heading2"/>
        <w:spacing w:after="120" w:before="320"/>
        <w:rPr>
          <w:b/>
          <w:bCs/>
          <w:color w:val="014D4E"/>
          <w:sz w:val="22"/>
          <w:szCs w:val="22"/>
        </w:rPr>
      </w:pPr>
      <w:r>
        <w:t xml:space="preserve">Permitted uses</w:t>
      </w:r>
    </w:p>
    <w:p>
      <w:pPr>
        <w:pStyle w:val="ListParagraph"/>
        <w:numPr>
          <w:ilvl w:val="0"/>
          <w:numId w:val="1"/>
        </w:numPr>
        <w:spacing w:after="80"/>
      </w:pPr>
      <w:r>
        <w:rPr>
          <w:color w:val="1A1A1A"/>
          <w:sz w:val="20"/>
          <w:szCs w:val="20"/>
        </w:rPr>
        <w:t xml:space="preserve">Conducting internal CQC compliance self-assessments for your own service</w:t>
      </w:r>
    </w:p>
    <w:p>
      <w:pPr>
        <w:pStyle w:val="ListParagraph"/>
        <w:numPr>
          <w:ilvl w:val="0"/>
          <w:numId w:val="1"/>
        </w:numPr>
        <w:spacing w:after="80"/>
      </w:pPr>
      <w:r>
        <w:rPr>
          <w:color w:val="1A1A1A"/>
          <w:sz w:val="20"/>
          <w:szCs w:val="20"/>
        </w:rPr>
        <w:t xml:space="preserve">Tracking evidence, governance activity and action items across CQC domains</w:t>
      </w:r>
    </w:p>
    <w:p>
      <w:pPr>
        <w:pStyle w:val="ListParagraph"/>
        <w:numPr>
          <w:ilvl w:val="0"/>
          <w:numId w:val="1"/>
        </w:numPr>
        <w:spacing w:after="80"/>
      </w:pPr>
      <w:r>
        <w:rPr>
          <w:color w:val="1A1A1A"/>
          <w:sz w:val="20"/>
          <w:szCs w:val="20"/>
        </w:rPr>
        <w:t xml:space="preserve">Preparing for CQC inspections and maintaining inspection readiness</w:t>
      </w:r>
    </w:p>
    <w:p>
      <w:pPr>
        <w:pStyle w:val="ListParagraph"/>
        <w:numPr>
          <w:ilvl w:val="0"/>
          <w:numId w:val="1"/>
        </w:numPr>
        <w:spacing w:after="80"/>
      </w:pPr>
      <w:r>
        <w:rPr>
          <w:color w:val="1A1A1A"/>
          <w:sz w:val="20"/>
          <w:szCs w:val="20"/>
        </w:rPr>
        <w:t xml:space="preserve">Sharing compliance data internally with your management team and governance leads</w:t>
      </w:r>
    </w:p>
    <w:p>
      <w:pPr>
        <w:pStyle w:val="ListParagraph"/>
        <w:numPr>
          <w:ilvl w:val="0"/>
          <w:numId w:val="1"/>
        </w:numPr>
        <w:spacing w:after="80"/>
      </w:pPr>
      <w:r>
        <w:rPr>
          <w:color w:val="1A1A1A"/>
          <w:sz w:val="20"/>
          <w:szCs w:val="20"/>
        </w:rPr>
        <w:t xml:space="preserve">Using the AI newsletter drafting tool to generate general compliance communications for your organisation</w:t>
      </w:r>
    </w:p>
    <w:p>
      <w:pPr>
        <w:pStyle w:val="Heading2"/>
        <w:spacing w:after="120" w:before="320"/>
        <w:rPr>
          <w:b/>
          <w:bCs/>
          <w:color w:val="014D4E"/>
          <w:sz w:val="22"/>
          <w:szCs w:val="22"/>
        </w:rPr>
      </w:pPr>
      <w:r>
        <w:t xml:space="preserve">Prohibited uses</w:t>
      </w:r>
    </w:p>
    <w:p>
      <w:pPr>
        <w:spacing w:after="160"/>
      </w:pPr>
      <w:r>
        <w:rPr>
          <w:b/>
          <w:bCs/>
          <w:color w:val="1A1A1A"/>
          <w:sz w:val="20"/>
          <w:szCs w:val="20"/>
        </w:rPr>
        <w:t xml:space="preserve">Misrepresentation: </w:t>
      </w:r>
      <w:r>
        <w:rPr>
          <w:color w:val="1A1A1A"/>
          <w:sz w:val="20"/>
          <w:szCs w:val="20"/>
        </w:rPr>
        <w:t xml:space="preserve">entering false or fabricated compliance data, or using outputs to misrepresent your service's compliance status to CQC or any other party</w:t>
      </w:r>
    </w:p>
    <w:p>
      <w:pPr>
        <w:spacing w:after="160"/>
      </w:pPr>
      <w:r>
        <w:rPr>
          <w:b/>
          <w:bCs/>
          <w:color w:val="1A1A1A"/>
          <w:sz w:val="20"/>
          <w:szCs w:val="20"/>
        </w:rPr>
        <w:t xml:space="preserve">Unauthorised access: </w:t>
      </w:r>
      <w:r>
        <w:rPr>
          <w:color w:val="1A1A1A"/>
          <w:sz w:val="20"/>
          <w:szCs w:val="20"/>
        </w:rPr>
        <w:t xml:space="preserve">sharing login credentials outside your organisation, or accessing another organisation's account without explicit authorisation</w:t>
      </w:r>
    </w:p>
    <w:p>
      <w:pPr>
        <w:spacing w:after="160"/>
      </w:pPr>
      <w:r>
        <w:rPr>
          <w:b/>
          <w:bCs/>
          <w:color w:val="1A1A1A"/>
          <w:sz w:val="20"/>
          <w:szCs w:val="20"/>
        </w:rPr>
        <w:t xml:space="preserve">Commercial misuse: </w:t>
      </w:r>
      <w:r>
        <w:rPr>
          <w:color w:val="1A1A1A"/>
          <w:sz w:val="20"/>
          <w:szCs w:val="20"/>
        </w:rPr>
        <w:t xml:space="preserve">reselling, sublicensing or redistributing access without written permission; using AlwaysReady to provide compliance consultancy to third parties without a written agreement</w:t>
      </w:r>
    </w:p>
    <w:p>
      <w:pPr>
        <w:spacing w:after="160"/>
      </w:pPr>
      <w:r>
        <w:rPr>
          <w:b/>
          <w:bCs/>
          <w:color w:val="1A1A1A"/>
          <w:sz w:val="20"/>
          <w:szCs w:val="20"/>
        </w:rPr>
        <w:t xml:space="preserve">Technical misuse: </w:t>
      </w:r>
      <w:r>
        <w:rPr>
          <w:color w:val="1A1A1A"/>
          <w:sz w:val="20"/>
          <w:szCs w:val="20"/>
        </w:rPr>
        <w:t xml:space="preserve">reverse-engineering the platform, using bots or scraping tools, attempting to circumvent security controls, or introducing malware</w:t>
      </w:r>
    </w:p>
    <w:p>
      <w:pPr>
        <w:spacing w:after="160"/>
      </w:pPr>
      <w:r>
        <w:rPr>
          <w:b/>
          <w:bCs/>
          <w:color w:val="1A1A1A"/>
          <w:sz w:val="20"/>
          <w:szCs w:val="20"/>
        </w:rPr>
        <w:t xml:space="preserve">Regulatory misuse: </w:t>
      </w:r>
      <w:r>
        <w:rPr>
          <w:color w:val="1A1A1A"/>
          <w:sz w:val="20"/>
          <w:szCs w:val="20"/>
        </w:rPr>
        <w:t xml:space="preserve">representing AlwaysReady as an official CQC tool, or implying that use of our tools guarantees a particular inspection outcome</w:t>
      </w:r>
    </w:p>
    <w:p>
      <w:pPr>
        <w:spacing w:after="160"/>
      </w:pPr>
      <w:r>
        <w:rPr>
          <w:b/>
          <w:bCs/>
          <w:color w:val="1A1A1A"/>
          <w:sz w:val="20"/>
          <w:szCs w:val="20"/>
        </w:rPr>
        <w:t xml:space="preserve">AI tool misuse: </w:t>
      </w:r>
      <w:r>
        <w:rPr>
          <w:color w:val="1A1A1A"/>
          <w:sz w:val="20"/>
          <w:szCs w:val="20"/>
        </w:rPr>
        <w:t xml:space="preserve">entering personal details of residents, patients, families or individual staff members into the AI newsletter drafting tool; using AI-generated content without review; or publishing AI-generated content that misrepresents your organisation's compliance position</w:t>
      </w:r>
    </w:p>
    <w:p>
      <w:pPr>
        <w:pStyle w:val="Heading2"/>
        <w:spacing w:after="120" w:before="320"/>
        <w:rPr>
          <w:b/>
          <w:bCs/>
          <w:color w:val="014D4E"/>
          <w:sz w:val="22"/>
          <w:szCs w:val="22"/>
        </w:rPr>
      </w:pPr>
      <w:r>
        <w:t xml:space="preserve">Consequences of breach</w:t>
      </w:r>
    </w:p>
    <w:p>
      <w:pPr>
        <w:spacing w:after="160"/>
        <w:jc w:val="left"/>
      </w:pPr>
      <w:r>
        <w:rPr>
          <w:b w:val="false"/>
          <w:bCs w:val="false"/>
          <w:color w:val="1A1A1A"/>
          <w:sz w:val="20"/>
          <w:szCs w:val="20"/>
        </w:rPr>
        <w:t xml:space="preserve">We reserve the right to suspend or terminate your account immediately if we reasonably believe you have breached this policy. We may also take legal action where a breach causes loss or damage.</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Cancellation Policy</w:t>
      </w:r>
    </w:p>
    <w:p>
      <w:pPr>
        <w:spacing w:after="80"/>
      </w:pPr>
      <w:r>
        <w:rPr>
          <w:i/>
          <w:iCs/>
          <w:color w:val="555555"/>
          <w:sz w:val="18"/>
          <w:szCs w:val="18"/>
        </w:rPr>
        <w:t xml:space="preserve">Last updated: July 2026</w:t>
      </w:r>
    </w:p>
    <w:p>
      <w:pPr>
        <w:spacing w:after="160"/>
        <w:jc w:val="left"/>
      </w:pPr>
      <w:r>
        <w:rPr>
          <w:b w:val="false"/>
          <w:bCs w:val="false"/>
          <w:color w:val="1A1A1A"/>
          <w:sz w:val="20"/>
          <w:szCs w:val="20"/>
        </w:rPr>
        <w:t xml:space="preserve">AlwaysReady subscriptions are Pay As You Go with no lock-in and no cancellation fees.</w:t>
      </w:r>
    </w:p>
    <w:p>
      <w:pPr>
        <w:pStyle w:val="Heading2"/>
        <w:spacing w:after="120" w:before="320"/>
        <w:rPr>
          <w:b/>
          <w:bCs/>
          <w:color w:val="014D4E"/>
          <w:sz w:val="22"/>
          <w:szCs w:val="22"/>
        </w:rPr>
      </w:pPr>
      <w:r>
        <w:t xml:space="preserve">How subscriptions work</w:t>
      </w:r>
    </w:p>
    <w:p>
      <w:pPr>
        <w:spacing w:after="160"/>
        <w:jc w:val="left"/>
      </w:pPr>
      <w:r>
        <w:rPr>
          <w:b w:val="false"/>
          <w:bCs w:val="false"/>
          <w:color w:val="1A1A1A"/>
          <w:sz w:val="20"/>
          <w:szCs w:val="20"/>
        </w:rPr>
        <w:t xml:space="preserve">Subscriptions are billed monthly in advance through Stripe. You pay at the start of each billing period and access continues until the end of that period.</w:t>
      </w:r>
    </w:p>
    <w:p>
      <w:pPr>
        <w:pStyle w:val="Heading2"/>
        <w:spacing w:after="120" w:before="320"/>
        <w:rPr>
          <w:b/>
          <w:bCs/>
          <w:color w:val="014D4E"/>
          <w:sz w:val="22"/>
          <w:szCs w:val="22"/>
        </w:rPr>
      </w:pPr>
      <w:r>
        <w:t xml:space="preserve">How to cancel</w:t>
      </w:r>
    </w:p>
    <w:p>
      <w:pPr>
        <w:spacing w:after="160"/>
        <w:jc w:val="left"/>
      </w:pPr>
      <w:r>
        <w:rPr>
          <w:b w:val="false"/>
          <w:bCs w:val="false"/>
          <w:color w:val="1A1A1A"/>
          <w:sz w:val="20"/>
          <w:szCs w:val="20"/>
        </w:rPr>
        <w:t xml:space="preserve">Cancel at any time directly from within the platform: Account → Billing → Cancel my subscription. This opens the Stripe Customer Portal where you can cancel immediately. You can also email support@alwaysready.uk and we will confirm your cancellation within 2 working days.</w:t>
      </w:r>
    </w:p>
    <w:p>
      <w:pPr>
        <w:pStyle w:val="Heading2"/>
        <w:spacing w:after="120" w:before="320"/>
        <w:rPr>
          <w:b/>
          <w:bCs/>
          <w:color w:val="014D4E"/>
          <w:sz w:val="22"/>
          <w:szCs w:val="22"/>
        </w:rPr>
      </w:pPr>
      <w:r>
        <w:t xml:space="preserve">What happens after you cancel</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shd w:fill="014D4E" w:val="clear"/>
          </w:tcPr>
          <w:p>
            <w:pPr>
              <w:spacing w:after="80" w:before="80"/>
            </w:pPr>
            <w:r>
              <w:rPr>
                <w:b/>
                <w:bCs/>
                <w:color w:val="FFFFFF"/>
                <w:sz w:val="18"/>
                <w:szCs w:val="18"/>
              </w:rPr>
              <w:t xml:space="preserve">Scenario</w:t>
            </w:r>
          </w:p>
        </w:tc>
        <w:tc>
          <w:tcPr>
            <w:tcW w:type="dxa" w:w="4536"/>
            <w:shd w:fill="014D4E" w:val="clear"/>
          </w:tcPr>
          <w:p>
            <w:pPr>
              <w:spacing w:after="80" w:before="80"/>
            </w:pPr>
            <w:r>
              <w:rPr>
                <w:b/>
                <w:bCs/>
                <w:color w:val="FFFFFF"/>
                <w:sz w:val="18"/>
                <w:szCs w:val="18"/>
              </w:rPr>
              <w:t xml:space="preserve">What happens</w:t>
            </w:r>
          </w:p>
        </w:tc>
      </w:tr>
      <w:tr>
        <w:trPr>
          <w:tblHeader w:val="false"/>
        </w:trPr>
        <w:tc>
          <w:tcPr>
            <w:tcW w:type="dxa" w:w="4536"/>
            <w:shd w:fill="FFFFFF" w:val="clear"/>
          </w:tcPr>
          <w:p>
            <w:pPr>
              <w:spacing w:after="80" w:before="80"/>
            </w:pPr>
            <w:r>
              <w:rPr>
                <w:b w:val="false"/>
                <w:bCs w:val="false"/>
                <w:color w:val="1A1A1A"/>
                <w:sz w:val="18"/>
                <w:szCs w:val="18"/>
              </w:rPr>
              <w:t xml:space="preserve">Cancel before next billing date</w:t>
            </w:r>
          </w:p>
        </w:tc>
        <w:tc>
          <w:tcPr>
            <w:tcW w:type="dxa" w:w="4536"/>
            <w:shd w:fill="FFFFFF" w:val="clear"/>
          </w:tcPr>
          <w:p>
            <w:pPr>
              <w:spacing w:after="80" w:before="80"/>
            </w:pPr>
            <w:r>
              <w:rPr>
                <w:b w:val="false"/>
                <w:bCs w:val="false"/>
                <w:color w:val="1A1A1A"/>
                <w:sz w:val="18"/>
                <w:szCs w:val="18"/>
              </w:rPr>
              <w:t xml:space="preserve">No further charge. Access continues until the end of your current billing period.</w:t>
            </w:r>
          </w:p>
        </w:tc>
      </w:tr>
      <w:tr>
        <w:trPr>
          <w:tblHeader w:val="false"/>
        </w:trPr>
        <w:tc>
          <w:tcPr>
            <w:tcW w:type="dxa" w:w="4536"/>
            <w:shd w:fill="FFFFFF" w:val="clear"/>
          </w:tcPr>
          <w:p>
            <w:pPr>
              <w:spacing w:after="80" w:before="80"/>
            </w:pPr>
            <w:r>
              <w:rPr>
                <w:b w:val="false"/>
                <w:bCs w:val="false"/>
                <w:color w:val="1A1A1A"/>
                <w:sz w:val="18"/>
                <w:szCs w:val="18"/>
              </w:rPr>
              <w:t xml:space="preserve">Billing period ends</w:t>
            </w:r>
          </w:p>
        </w:tc>
        <w:tc>
          <w:tcPr>
            <w:tcW w:type="dxa" w:w="4536"/>
            <w:shd w:fill="FFFFFF" w:val="clear"/>
          </w:tcPr>
          <w:p>
            <w:pPr>
              <w:spacing w:after="80" w:before="80"/>
            </w:pPr>
            <w:r>
              <w:rPr>
                <w:b w:val="false"/>
                <w:bCs w:val="false"/>
                <w:color w:val="1A1A1A"/>
                <w:sz w:val="18"/>
                <w:szCs w:val="18"/>
              </w:rPr>
              <w:t xml:space="preserve">Platform access is deactivated. Your data is retained for 30 days.</w:t>
            </w:r>
          </w:p>
        </w:tc>
      </w:tr>
      <w:tr>
        <w:trPr>
          <w:tblHeader w:val="false"/>
        </w:trPr>
        <w:tc>
          <w:tcPr>
            <w:tcW w:type="dxa" w:w="4536"/>
            <w:shd w:fill="FFFFFF" w:val="clear"/>
          </w:tcPr>
          <w:p>
            <w:pPr>
              <w:spacing w:after="80" w:before="80"/>
            </w:pPr>
            <w:r>
              <w:rPr>
                <w:b w:val="false"/>
                <w:bCs w:val="false"/>
                <w:color w:val="1A1A1A"/>
                <w:sz w:val="18"/>
                <w:szCs w:val="18"/>
              </w:rPr>
              <w:t xml:space="preserve">Within 30 days of deactivation</w:t>
            </w:r>
          </w:p>
        </w:tc>
        <w:tc>
          <w:tcPr>
            <w:tcW w:type="dxa" w:w="4536"/>
            <w:shd w:fill="FFFFFF" w:val="clear"/>
          </w:tcPr>
          <w:p>
            <w:pPr>
              <w:spacing w:after="80" w:before="80"/>
            </w:pPr>
            <w:r>
              <w:rPr>
                <w:b w:val="false"/>
                <w:bCs w:val="false"/>
                <w:color w:val="1A1A1A"/>
                <w:sz w:val="18"/>
                <w:szCs w:val="18"/>
              </w:rPr>
              <w:t xml:space="preserve">You can reactivate your subscription and regain full access, or download your data via the export function.</w:t>
            </w:r>
          </w:p>
        </w:tc>
      </w:tr>
      <w:tr>
        <w:trPr>
          <w:tblHeader w:val="false"/>
        </w:trPr>
        <w:tc>
          <w:tcPr>
            <w:tcW w:type="dxa" w:w="4536"/>
            <w:shd w:fill="FFFFFF" w:val="clear"/>
          </w:tcPr>
          <w:p>
            <w:pPr>
              <w:spacing w:after="80" w:before="80"/>
            </w:pPr>
            <w:r>
              <w:rPr>
                <w:b w:val="false"/>
                <w:bCs w:val="false"/>
                <w:color w:val="1A1A1A"/>
                <w:sz w:val="18"/>
                <w:szCs w:val="18"/>
              </w:rPr>
              <w:t xml:space="preserve">After 30 days</w:t>
            </w:r>
          </w:p>
        </w:tc>
        <w:tc>
          <w:tcPr>
            <w:tcW w:type="dxa" w:w="4536"/>
            <w:shd w:fill="FFFFFF" w:val="clear"/>
          </w:tcPr>
          <w:p>
            <w:pPr>
              <w:spacing w:after="80" w:before="80"/>
            </w:pPr>
            <w:r>
              <w:rPr>
                <w:b w:val="false"/>
                <w:bCs w:val="false"/>
                <w:color w:val="1A1A1A"/>
                <w:sz w:val="18"/>
                <w:szCs w:val="18"/>
              </w:rPr>
              <w:t xml:space="preserve">All organisation data is permanently deleted from our systems.</w:t>
            </w:r>
          </w:p>
        </w:tc>
      </w:tr>
    </w:tbl>
    <w:p>
      <w:pPr>
        <w:spacing w:after="160"/>
      </w:pPr>
    </w:p>
    <w:p>
      <w:pPr>
        <w:pStyle w:val="Heading2"/>
        <w:spacing w:after="120" w:before="320"/>
        <w:rPr>
          <w:b/>
          <w:bCs/>
          <w:color w:val="014D4E"/>
          <w:sz w:val="22"/>
          <w:szCs w:val="22"/>
        </w:rPr>
      </w:pPr>
      <w:r>
        <w:t xml:space="preserve">Exporting your data</w:t>
      </w:r>
    </w:p>
    <w:p>
      <w:pPr>
        <w:spacing w:after="160"/>
        <w:jc w:val="left"/>
      </w:pPr>
      <w:r>
        <w:rPr>
          <w:b w:val="false"/>
          <w:bCs w:val="false"/>
          <w:color w:val="1A1A1A"/>
          <w:sz w:val="20"/>
          <w:szCs w:val="20"/>
        </w:rPr>
        <w:t xml:space="preserve">We strongly recommend downloading your data before cancelling. You can export all your compliance records and evidence files at any time from Account → Organisation → Export your data. Two exports are available: one for all your records and data as CSV files, and one for all uploaded evidence files as a ZIP archive.</w:t>
      </w:r>
    </w:p>
    <w:p>
      <w:pPr>
        <w:pStyle w:val="Heading2"/>
        <w:spacing w:after="120" w:before="320"/>
        <w:rPr>
          <w:b/>
          <w:bCs/>
          <w:color w:val="014D4E"/>
          <w:sz w:val="22"/>
          <w:szCs w:val="22"/>
        </w:rPr>
      </w:pPr>
      <w:r>
        <w:t xml:space="preserve">Refunds</w:t>
      </w:r>
    </w:p>
    <w:p>
      <w:pPr>
        <w:spacing w:after="160"/>
        <w:jc w:val="left"/>
      </w:pPr>
      <w:r>
        <w:rPr>
          <w:b w:val="false"/>
          <w:bCs w:val="false"/>
          <w:color w:val="1A1A1A"/>
          <w:sz w:val="20"/>
          <w:szCs w:val="20"/>
        </w:rPr>
        <w:t xml:space="preserve">We do not offer pro-rata refunds for partial months. If you believe a payment has been taken in error, contact support@alwaysready.uk and we will review it on a case-by-case basis.</w:t>
      </w:r>
    </w:p>
    <w:p>
      <w:pPr>
        <w:pStyle w:val="Heading2"/>
        <w:spacing w:after="120" w:before="320"/>
        <w:rPr>
          <w:b/>
          <w:bCs/>
          <w:color w:val="014D4E"/>
          <w:sz w:val="22"/>
          <w:szCs w:val="22"/>
        </w:rPr>
      </w:pPr>
      <w:r>
        <w:t xml:space="preserve">Free trial</w:t>
      </w:r>
    </w:p>
    <w:p>
      <w:pPr>
        <w:spacing w:after="160"/>
        <w:jc w:val="left"/>
      </w:pPr>
      <w:r>
        <w:rPr>
          <w:b w:val="false"/>
          <w:bCs w:val="false"/>
          <w:color w:val="1A1A1A"/>
          <w:sz w:val="20"/>
          <w:szCs w:val="20"/>
        </w:rPr>
        <w:t xml:space="preserve">The 14-day free trial requires no payment details and ends automatically. If you do not activate a subscription at the end of your trial, your account will be deactivated and your data will be retained for 30 days before permanent deletion.</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Accessibility Policy</w:t>
      </w:r>
    </w:p>
    <w:p>
      <w:pPr>
        <w:spacing w:after="80"/>
      </w:pPr>
      <w:r>
        <w:rPr>
          <w:i/>
          <w:iCs/>
          <w:color w:val="555555"/>
          <w:sz w:val="18"/>
          <w:szCs w:val="18"/>
        </w:rPr>
        <w:t xml:space="preserve">Last updated: July 2026</w:t>
      </w:r>
    </w:p>
    <w:p>
      <w:pPr>
        <w:spacing w:after="160"/>
        <w:jc w:val="left"/>
      </w:pPr>
      <w:r>
        <w:rPr>
          <w:b w:val="false"/>
          <w:bCs w:val="false"/>
          <w:color w:val="1A1A1A"/>
          <w:sz w:val="20"/>
          <w:szCs w:val="20"/>
        </w:rPr>
        <w:t xml:space="preserve">AlwaysReady is committed to making its website and digital tools accessible to all users, including people with disabilities. We aim to conform to WCAG 2.1 Level AA standards.</w:t>
      </w:r>
    </w:p>
    <w:p>
      <w:pPr>
        <w:pStyle w:val="Heading2"/>
        <w:spacing w:after="120" w:before="320"/>
        <w:rPr>
          <w:b/>
          <w:bCs/>
          <w:color w:val="014D4E"/>
          <w:sz w:val="22"/>
          <w:szCs w:val="22"/>
        </w:rPr>
      </w:pPr>
      <w:r>
        <w:t xml:space="preserve">What we have done</w:t>
      </w:r>
    </w:p>
    <w:p>
      <w:pPr>
        <w:pStyle w:val="ListParagraph"/>
        <w:numPr>
          <w:ilvl w:val="0"/>
          <w:numId w:val="1"/>
        </w:numPr>
        <w:spacing w:after="80"/>
      </w:pPr>
      <w:r>
        <w:rPr>
          <w:color w:val="1A1A1A"/>
          <w:sz w:val="20"/>
          <w:szCs w:val="20"/>
        </w:rPr>
        <w:t xml:space="preserve">Sufficient colour contrast ratios across all page elements</w:t>
      </w:r>
    </w:p>
    <w:p>
      <w:pPr>
        <w:pStyle w:val="ListParagraph"/>
        <w:numPr>
          <w:ilvl w:val="0"/>
          <w:numId w:val="1"/>
        </w:numPr>
        <w:spacing w:after="80"/>
      </w:pPr>
      <w:r>
        <w:rPr>
          <w:color w:val="1A1A1A"/>
          <w:sz w:val="20"/>
          <w:szCs w:val="20"/>
        </w:rPr>
        <w:t xml:space="preserve">All form fields have clearly labelled text labels visible to screen readers</w:t>
      </w:r>
    </w:p>
    <w:p>
      <w:pPr>
        <w:pStyle w:val="ListParagraph"/>
        <w:numPr>
          <w:ilvl w:val="0"/>
          <w:numId w:val="1"/>
        </w:numPr>
        <w:spacing w:after="80"/>
      </w:pPr>
      <w:r>
        <w:rPr>
          <w:color w:val="1A1A1A"/>
          <w:sz w:val="20"/>
          <w:szCs w:val="20"/>
        </w:rPr>
        <w:t xml:space="preserve">ARIA roles and labels on interactive components</w:t>
      </w:r>
    </w:p>
    <w:p>
      <w:pPr>
        <w:pStyle w:val="ListParagraph"/>
        <w:numPr>
          <w:ilvl w:val="0"/>
          <w:numId w:val="1"/>
        </w:numPr>
        <w:spacing w:after="80"/>
      </w:pPr>
      <w:r>
        <w:rPr>
          <w:color w:val="1A1A1A"/>
          <w:sz w:val="20"/>
          <w:szCs w:val="20"/>
        </w:rPr>
        <w:t xml:space="preserve">All interactive elements are keyboard-navigable</w:t>
      </w:r>
    </w:p>
    <w:p>
      <w:pPr>
        <w:pStyle w:val="ListParagraph"/>
        <w:numPr>
          <w:ilvl w:val="0"/>
          <w:numId w:val="1"/>
        </w:numPr>
        <w:spacing w:after="80"/>
      </w:pPr>
      <w:r>
        <w:rPr>
          <w:color w:val="1A1A1A"/>
          <w:sz w:val="20"/>
          <w:szCs w:val="20"/>
        </w:rPr>
        <w:t xml:space="preserve">Skip to main content link on every page</w:t>
      </w:r>
    </w:p>
    <w:p>
      <w:pPr>
        <w:pStyle w:val="ListParagraph"/>
        <w:numPr>
          <w:ilvl w:val="0"/>
          <w:numId w:val="1"/>
        </w:numPr>
        <w:spacing w:after="80"/>
      </w:pPr>
      <w:r>
        <w:rPr>
          <w:color w:val="1A1A1A"/>
          <w:sz w:val="20"/>
          <w:szCs w:val="20"/>
        </w:rPr>
        <w:t xml:space="preserve">Semantic HTML throughout to support assistive technologies</w:t>
      </w:r>
    </w:p>
    <w:p>
      <w:pPr>
        <w:pStyle w:val="ListParagraph"/>
        <w:numPr>
          <w:ilvl w:val="0"/>
          <w:numId w:val="1"/>
        </w:numPr>
        <w:spacing w:after="80"/>
      </w:pPr>
      <w:r>
        <w:rPr>
          <w:color w:val="1A1A1A"/>
          <w:sz w:val="20"/>
          <w:szCs w:val="20"/>
        </w:rPr>
        <w:t xml:space="preserve">Visible focus states on all interactive elements</w:t>
      </w:r>
    </w:p>
    <w:p>
      <w:pPr>
        <w:pStyle w:val="Heading2"/>
        <w:spacing w:after="120" w:before="320"/>
        <w:rPr>
          <w:b/>
          <w:bCs/>
          <w:color w:val="014D4E"/>
          <w:sz w:val="22"/>
          <w:szCs w:val="22"/>
        </w:rPr>
      </w:pPr>
      <w:r>
        <w:t xml:space="preserve">Known limitations</w:t>
      </w:r>
    </w:p>
    <w:p>
      <w:pPr>
        <w:pStyle w:val="ListParagraph"/>
        <w:numPr>
          <w:ilvl w:val="0"/>
          <w:numId w:val="1"/>
        </w:numPr>
        <w:spacing w:after="80"/>
      </w:pPr>
      <w:r>
        <w:rPr>
          <w:color w:val="1A1A1A"/>
          <w:sz w:val="20"/>
          <w:szCs w:val="20"/>
        </w:rPr>
        <w:t xml:space="preserve">Some PDF resources may not be fully tagged for screen reader compatibility. Contact us for an accessible alternative.</w:t>
      </w:r>
    </w:p>
    <w:p>
      <w:pPr>
        <w:pStyle w:val="Heading2"/>
        <w:spacing w:after="120" w:before="320"/>
        <w:rPr>
          <w:b/>
          <w:bCs/>
          <w:color w:val="014D4E"/>
          <w:sz w:val="22"/>
          <w:szCs w:val="22"/>
        </w:rPr>
      </w:pPr>
      <w:r>
        <w:t xml:space="preserve">Report an issue</w:t>
      </w:r>
    </w:p>
    <w:p>
      <w:pPr>
        <w:spacing w:after="160"/>
        <w:jc w:val="left"/>
      </w:pPr>
      <w:r>
        <w:rPr>
          <w:b w:val="false"/>
          <w:bCs w:val="false"/>
          <w:color w:val="1A1A1A"/>
          <w:sz w:val="20"/>
          <w:szCs w:val="20"/>
        </w:rPr>
        <w:t xml:space="preserve">Email support@alwaysready.uk with the subject line: Accessibility issue. We aim to respond within 5 working days. If unsatisfied, contact the Equality Advisory and Support Service at equalityadvisoryservice.com.</w:t>
      </w:r>
    </w:p>
    <w:p>
      <w:pPr>
        <w:pBdr>
          <w:bottom w:val="single" w:color="CCCCCC" w:sz="4"/>
        </w:pBdr>
        <w:spacing w:after="160" w:before="160"/>
      </w:pPr>
      <w:r>
        <w:t xml:space="preserve"/>
      </w:r>
    </w:p>
    <w:p>
      <w:r>
        <w:br w:type="page"/>
      </w:r>
    </w:p>
    <w:p>
      <w:pPr>
        <w:pStyle w:val="Heading1"/>
        <w:spacing w:after="160" w:before="400"/>
        <w:rPr>
          <w:b/>
          <w:bCs/>
          <w:color w:val="014D4E"/>
          <w:sz w:val="28"/>
          <w:szCs w:val="28"/>
        </w:rPr>
      </w:pPr>
      <w:r>
        <w:t xml:space="preserve">Disclaimer</w:t>
      </w:r>
    </w:p>
    <w:p>
      <w:pPr>
        <w:spacing w:after="80"/>
      </w:pPr>
      <w:r>
        <w:rPr>
          <w:i/>
          <w:iCs/>
          <w:color w:val="555555"/>
          <w:sz w:val="18"/>
          <w:szCs w:val="18"/>
        </w:rPr>
        <w:t xml:space="preserve">Last updated: July 2026</w:t>
      </w:r>
    </w:p>
    <w:p>
      <w:pPr>
        <w:pStyle w:val="Heading2"/>
        <w:spacing w:after="120" w:before="320"/>
        <w:rPr>
          <w:b/>
          <w:bCs/>
          <w:color w:val="014D4E"/>
          <w:sz w:val="22"/>
          <w:szCs w:val="22"/>
        </w:rPr>
      </w:pPr>
      <w:r>
        <w:t xml:space="preserve">1. No affiliation with the CQC</w:t>
      </w:r>
    </w:p>
    <w:p>
      <w:pPr>
        <w:spacing w:after="160"/>
        <w:jc w:val="left"/>
      </w:pPr>
      <w:r>
        <w:rPr>
          <w:b w:val="false"/>
          <w:bCs w:val="false"/>
          <w:color w:val="1A1A1A"/>
          <w:sz w:val="20"/>
          <w:szCs w:val="20"/>
        </w:rPr>
        <w:t xml:space="preserve">AlwaysReady is an independent entity and a brand of Parker Digital &amp; Print Services. We are not affiliated with, endorsed by, or representing the Care Quality Commission (CQC) in any capacity. Any checklists or tools provided on this site are independent interpretations and are not official CQC documents.</w:t>
      </w:r>
    </w:p>
    <w:p>
      <w:pPr>
        <w:pStyle w:val="Heading2"/>
        <w:spacing w:after="120" w:before="320"/>
        <w:rPr>
          <w:b/>
          <w:bCs/>
          <w:color w:val="014D4E"/>
          <w:sz w:val="22"/>
          <w:szCs w:val="22"/>
        </w:rPr>
      </w:pPr>
      <w:r>
        <w:t xml:space="preserve">2. No professional or legal advice</w:t>
      </w:r>
    </w:p>
    <w:p>
      <w:pPr>
        <w:spacing w:after="160"/>
        <w:jc w:val="left"/>
      </w:pPr>
      <w:r>
        <w:rPr>
          <w:b w:val="false"/>
          <w:bCs w:val="false"/>
          <w:color w:val="1A1A1A"/>
          <w:sz w:val="20"/>
          <w:szCs w:val="20"/>
        </w:rPr>
        <w:t xml:space="preserve">The content provided by AlwaysReady does not constitute legal, clinical or professional advice. While we strive to keep our resources accurate and up to date, regulations and compliance standards are subject to change. Use of our materials does not guarantee any specific outcome regarding inspections or regulatory compliance.</w:t>
      </w:r>
    </w:p>
    <w:p>
      <w:pPr>
        <w:pStyle w:val="Heading2"/>
        <w:spacing w:after="120" w:before="320"/>
        <w:rPr>
          <w:b/>
          <w:bCs/>
          <w:color w:val="014D4E"/>
          <w:sz w:val="22"/>
          <w:szCs w:val="22"/>
        </w:rPr>
      </w:pPr>
      <w:r>
        <w:t xml:space="preserve">3. Readiness scores and inspection packs</w:t>
      </w:r>
    </w:p>
    <w:p>
      <w:pPr>
        <w:spacing w:after="160"/>
        <w:jc w:val="left"/>
      </w:pPr>
      <w:r>
        <w:rPr>
          <w:b w:val="false"/>
          <w:bCs w:val="false"/>
          <w:color w:val="1A1A1A"/>
          <w:sz w:val="20"/>
          <w:szCs w:val="20"/>
        </w:rPr>
        <w:t xml:space="preserve">Readiness scores, RAG status indicators, and inspection packs generated by the AlwaysReady platform are based entirely on information your team enters. They are self-assessment tools, not the result of an independent audit or professional review. They do not predict, guarantee or influence any CQC inspection rating.</w:t>
      </w:r>
    </w:p>
    <w:p>
      <w:pPr>
        <w:spacing w:after="160"/>
        <w:jc w:val="left"/>
      </w:pPr>
      <w:r>
        <w:rPr>
          <w:b w:val="false"/>
          <w:bCs w:val="false"/>
          <w:color w:val="1A1A1A"/>
          <w:sz w:val="20"/>
          <w:szCs w:val="20"/>
        </w:rPr>
        <w:t xml:space="preserve">Inspection packs are a self-compiled summary of your organisation's records. They are not a certification of compliance. Your organisation is solely responsible for the accuracy of information entered into the platform and any use made of generated outputs.</w:t>
      </w:r>
    </w:p>
    <w:p>
      <w:pPr>
        <w:pStyle w:val="Heading2"/>
        <w:spacing w:after="120" w:before="320"/>
        <w:rPr>
          <w:b/>
          <w:bCs/>
          <w:color w:val="014D4E"/>
          <w:sz w:val="22"/>
          <w:szCs w:val="22"/>
        </w:rPr>
      </w:pPr>
      <w:r>
        <w:t xml:space="preserve">4. Accuracy and responsibility</w:t>
      </w:r>
    </w:p>
    <w:p>
      <w:pPr>
        <w:spacing w:after="160"/>
        <w:jc w:val="left"/>
      </w:pPr>
      <w:r>
        <w:rPr>
          <w:b w:val="false"/>
          <w:bCs w:val="false"/>
          <w:color w:val="1A1A1A"/>
          <w:sz w:val="20"/>
          <w:szCs w:val="20"/>
        </w:rPr>
        <w:t xml:space="preserve">AlwaysReady assumes no responsibility or liability for any errors or omissions in the content of this site. Users are responsible for ensuring their own compliance with all relevant laws and regulations. We strongly recommend consulting the official CQC website for the most current, detailed and legally binding guidance.</w:t>
      </w:r>
    </w:p>
    <w:p>
      <w:pPr>
        <w:pStyle w:val="Heading2"/>
        <w:spacing w:after="120" w:before="320"/>
        <w:rPr>
          <w:b/>
          <w:bCs/>
          <w:color w:val="014D4E"/>
          <w:sz w:val="22"/>
          <w:szCs w:val="22"/>
        </w:rPr>
      </w:pPr>
      <w:r>
        <w:t xml:space="preserve">5. AI-generated content</w:t>
      </w:r>
    </w:p>
    <w:p>
      <w:pPr>
        <w:spacing w:after="160"/>
        <w:jc w:val="left"/>
      </w:pPr>
      <w:r>
        <w:rPr>
          <w:b w:val="false"/>
          <w:bCs w:val="false"/>
          <w:color w:val="1A1A1A"/>
          <w:sz w:val="20"/>
          <w:szCs w:val="20"/>
        </w:rPr>
        <w:t xml:space="preserve">The platform includes an AI newsletter drafting tool that generates text using Anthropic's Claude API. AI-generated content may contain inaccuracies, errors or omissions. AlwaysReady makes no warranty as to the accuracy or suitability of AI-generated content and accepts no liability for its use. Always review and edit AI-generated drafts before publishing or distributing.</w:t>
      </w:r>
    </w:p>
    <w:p>
      <w:pPr>
        <w:pStyle w:val="Heading2"/>
        <w:spacing w:after="120" w:before="320"/>
        <w:rPr>
          <w:b/>
          <w:bCs/>
          <w:color w:val="014D4E"/>
          <w:sz w:val="22"/>
          <w:szCs w:val="22"/>
        </w:rPr>
      </w:pPr>
      <w:r>
        <w:t xml:space="preserve">6. External links</w:t>
      </w:r>
    </w:p>
    <w:p>
      <w:pPr>
        <w:spacing w:after="160"/>
        <w:jc w:val="left"/>
      </w:pPr>
      <w:r>
        <w:rPr>
          <w:b w:val="false"/>
          <w:bCs w:val="false"/>
          <w:color w:val="1A1A1A"/>
          <w:sz w:val="20"/>
          <w:szCs w:val="20"/>
        </w:rPr>
        <w:t xml:space="preserve">This website may contain links to external websites that are not provided or maintained by AlwaysReady. We do not guarantee the accuracy, relevance or completeness of any information on external sites.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2026-07-30T20:03:52.588Z</dcterms:created>
  <dcterms:modified xsi:type="dcterms:W3CDTF">2026-07-30T20:03:52.588Z</dcterms:modified>
</cp:coreProperties>
</file>

<file path=docProps/custom.xml><?xml version="1.0" encoding="utf-8"?>
<Properties xmlns="http://schemas.openxmlformats.org/officeDocument/2006/custom-properties" xmlns:vt="http://schemas.openxmlformats.org/officeDocument/2006/docPropsVTypes"/>
</file>