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EF3C7"/>
        <w:spacing w:after="80" w:before="80"/>
      </w:pPr>
      <w:r>
        <w:rPr>
          <w:b/>
          <w:bCs/>
          <w:color w:val="92400e"/>
          <w:sz w:val="20"/>
          <w:szCs w:val="20"/>
        </w:rPr>
        <w:t xml:space="preserve">FOR SOLICITOR REVIEW — DRAFT v2.0 — NOT FOR EXECUTION</w:t>
      </w:r>
    </w:p>
    <w:p>
      <w:pPr>
        <w:spacing w:after="60" w:before="60"/>
      </w:pPr>
      <w:r>
        <w:t xml:space="preserve"/>
      </w:r>
    </w:p>
    <w:p>
      <w:pPr>
        <w:spacing w:after="120" w:before="400"/>
        <w:jc w:val="center"/>
      </w:pPr>
      <w:r>
        <w:rPr>
          <w:b/>
          <w:bCs/>
          <w:color w:val="014D4E"/>
          <w:sz w:val="40"/>
          <w:szCs w:val="40"/>
        </w:rPr>
        <w:t xml:space="preserve">DATA PROCESSING AGREEMENT</w:t>
      </w:r>
    </w:p>
    <w:p>
      <w:pPr>
        <w:spacing w:after="80" w:before="0"/>
        <w:jc w:val="center"/>
      </w:pPr>
      <w:r>
        <w:rPr>
          <w:color w:val="4a5568"/>
          <w:sz w:val="24"/>
          <w:szCs w:val="24"/>
        </w:rPr>
        <w:t xml:space="preserve">AlwaysReady Inspection Readiness Platform</w:t>
      </w:r>
    </w:p>
    <w:p>
      <w:pPr>
        <w:spacing w:after="80" w:before="0"/>
        <w:jc w:val="center"/>
      </w:pPr>
      <w:r>
        <w:rPr>
          <w:color w:val="4a5568"/>
          <w:sz w:val="22"/>
          <w:szCs w:val="22"/>
        </w:rPr>
        <w:t xml:space="preserve">Version 2.0  |  August 2026</w:t>
      </w:r>
    </w:p>
    <w:p>
      <w:pPr>
        <w:spacing w:after="400" w:before="0"/>
        <w:jc w:val="center"/>
      </w:pPr>
      <w:r>
        <w:rPr>
          <w:i/>
          <w:iCs/>
          <w:color w:val="b91c1c"/>
          <w:sz w:val="20"/>
          <w:szCs w:val="20"/>
        </w:rPr>
        <w:t xml:space="preserve">Awaiting solicitor review before execution</w:t>
      </w:r>
    </w:p>
    <w:p>
      <w:pPr>
        <w:pBdr>
          <w:bottom w:val="single" w:color="e2e8f0" w:sz="4"/>
        </w:pBdr>
        <w:spacing w:after="160" w:before="160"/>
      </w:pPr>
      <w:r>
        <w:t xml:space="preserve"/>
      </w:r>
    </w:p>
    <w:p>
      <w:pPr>
        <w:pStyle w:val="Heading2"/>
        <w:spacing w:after="80" w:before="320"/>
      </w:pPr>
      <w:r>
        <w:rPr>
          <w:b/>
          <w:bCs/>
          <w:color w:val="014D4E"/>
          <w:sz w:val="24"/>
          <w:szCs w:val="24"/>
        </w:rPr>
        <w:t xml:space="preserve">1. Parties</w:t>
      </w:r>
    </w:p>
    <w:p>
      <w:pPr>
        <w:spacing w:after="80" w:before="80"/>
      </w:pPr>
      <w:r>
        <w:rPr>
          <w:color w:val="1a1a1a"/>
          <w:sz w:val="22"/>
          <w:szCs w:val="22"/>
        </w:rPr>
        <w:t xml:space="preserve">This Data Processing Agreement ("Agreement") is entered into between:</w:t>
      </w:r>
    </w:p>
    <w:p>
      <w:pPr>
        <w:spacing w:after="60" w:before="60"/>
      </w:pPr>
      <w:r>
        <w:t xml:space="preserve"/>
      </w:r>
    </w:p>
    <w:p>
      <w:pPr>
        <w:spacing w:after="60" w:before="60"/>
        <w:ind w:left="576"/>
      </w:pPr>
      <w:r>
        <w:rPr>
          <w:color w:val="1a1a1a"/>
          <w:sz w:val="22"/>
          <w:szCs w:val="22"/>
        </w:rPr>
        <w:t xml:space="preserve">Data Processor: Parker Digital &amp; Print Services Ltd, trading as AlwaysReady, registered office at 82A James Carter Road, Mildenhall, IP28 7DE ("AlwaysReady"); and</w:t>
      </w:r>
    </w:p>
    <w:p>
      <w:pPr>
        <w:spacing w:after="60" w:before="60"/>
      </w:pPr>
      <w:r>
        <w:t xml:space="preserve"/>
      </w:r>
    </w:p>
    <w:p>
      <w:pPr>
        <w:spacing w:after="60" w:before="60"/>
        <w:ind w:left="576"/>
      </w:pPr>
      <w:r>
        <w:rPr>
          <w:color w:val="1a1a1a"/>
          <w:sz w:val="22"/>
          <w:szCs w:val="22"/>
        </w:rPr>
        <w:t xml:space="preserve">Data Controller: The organisation subscribing to the AlwaysReady Inspection Readiness Platform ("Customer").</w:t>
      </w:r>
    </w:p>
    <w:p>
      <w:pPr>
        <w:spacing w:after="60" w:before="60"/>
      </w:pPr>
      <w:r>
        <w:t xml:space="preserve"/>
      </w:r>
    </w:p>
    <w:p>
      <w:pPr>
        <w:spacing w:after="80" w:before="80"/>
      </w:pPr>
      <w:r>
        <w:rPr>
          <w:color w:val="1a1a1a"/>
          <w:sz w:val="22"/>
          <w:szCs w:val="22"/>
        </w:rPr>
        <w:t xml:space="preserve">Together referred to as the "Parties".</w:t>
      </w:r>
    </w:p>
    <w:p>
      <w:pPr>
        <w:pStyle w:val="Heading2"/>
        <w:spacing w:after="80" w:before="320"/>
      </w:pPr>
      <w:r>
        <w:rPr>
          <w:b/>
          <w:bCs/>
          <w:color w:val="014D4E"/>
          <w:sz w:val="24"/>
          <w:szCs w:val="24"/>
        </w:rPr>
        <w:t xml:space="preserve">2. Background</w:t>
      </w:r>
    </w:p>
    <w:p>
      <w:pPr>
        <w:spacing w:after="80" w:before="80"/>
      </w:pPr>
      <w:r>
        <w:rPr>
          <w:color w:val="1a1a1a"/>
          <w:sz w:val="22"/>
          <w:szCs w:val="22"/>
        </w:rPr>
        <w:t xml:space="preserve">AlwaysReady provides an online inspection readiness platform (the "Platform") to care providers regulated by the Care Quality Commission (CQC). In providing the Platform, AlwaysReady processes personal data on behalf of the Customer. This Agreement sets out the terms on which AlwaysReady processes that data.</w:t>
      </w:r>
    </w:p>
    <w:p>
      <w:pPr>
        <w:spacing w:after="60" w:before="60"/>
      </w:pPr>
      <w:r>
        <w:t xml:space="preserve"/>
      </w:r>
    </w:p>
    <w:p>
      <w:pPr>
        <w:spacing w:after="80" w:before="80"/>
      </w:pPr>
      <w:r>
        <w:rPr>
          <w:color w:val="1a1a1a"/>
          <w:sz w:val="22"/>
          <w:szCs w:val="22"/>
        </w:rPr>
        <w:t xml:space="preserve">This Agreement forms part of, and is subject to, the subscription agreement between the Parties. In the event of any conflict between this Agreement and the subscription agreement, this Agreement shall take precedence in respect of data protection matters.</w:t>
      </w:r>
    </w:p>
    <w:p>
      <w:pPr>
        <w:spacing w:after="60" w:before="60"/>
      </w:pPr>
      <w:r>
        <w:t xml:space="preserve"/>
      </w:r>
    </w:p>
    <w:p>
      <w:pPr>
        <w:spacing w:after="80" w:before="80"/>
      </w:pPr>
      <w:r>
        <w:rPr>
          <w:color w:val="1a1a1a"/>
          <w:sz w:val="22"/>
          <w:szCs w:val="22"/>
        </w:rPr>
        <w:t xml:space="preserve">This Agreement is incorporated into and accepted as part of the subscription agreement by the Customer's act of creating an account on and/or subscribing to the Platform. No physical signature is required for this Agreement to have legal effect.</w:t>
      </w:r>
    </w:p>
    <w:p>
      <w:pPr>
        <w:pStyle w:val="Heading2"/>
        <w:spacing w:after="80" w:before="320"/>
      </w:pPr>
      <w:r>
        <w:rPr>
          <w:b/>
          <w:bCs/>
          <w:color w:val="014D4E"/>
          <w:sz w:val="24"/>
          <w:szCs w:val="24"/>
        </w:rPr>
        <w:t xml:space="preserve">3. Definitions</w:t>
      </w:r>
    </w:p>
    <w:p>
      <w:pPr>
        <w:spacing w:after="80" w:before="80"/>
      </w:pPr>
      <w:r>
        <w:rPr>
          <w:color w:val="1a1a1a"/>
          <w:sz w:val="22"/>
          <w:szCs w:val="22"/>
        </w:rPr>
        <w:t xml:space="preserve">In this Agreement:</w:t>
      </w:r>
    </w:p>
    <w:p>
      <w:pPr>
        <w:spacing w:after="60" w:before="60"/>
      </w:pPr>
      <w:r>
        <w:t xml:space="preserve"/>
      </w:r>
    </w:p>
    <w:p>
      <w:pPr>
        <w:spacing w:after="60" w:before="60"/>
        <w:ind w:left="576"/>
      </w:pPr>
      <w:r>
        <w:rPr>
          <w:color w:val="1a1a1a"/>
          <w:sz w:val="22"/>
          <w:szCs w:val="22"/>
        </w:rPr>
        <w:t xml:space="preserve">"UK GDPR" means the UK General Data Protection Regulation as retained in UK law by the European Union (Withdrawal) Act 2018, as amended.</w:t>
      </w:r>
    </w:p>
    <w:p>
      <w:pPr>
        <w:spacing w:after="60" w:before="60"/>
      </w:pPr>
      <w:r>
        <w:t xml:space="preserve"/>
      </w:r>
    </w:p>
    <w:p>
      <w:pPr>
        <w:spacing w:after="60" w:before="60"/>
        <w:ind w:left="576"/>
      </w:pPr>
      <w:r>
        <w:rPr>
          <w:color w:val="1a1a1a"/>
          <w:sz w:val="22"/>
          <w:szCs w:val="22"/>
        </w:rPr>
        <w:t xml:space="preserve">"Data Protection Legislation" means the UK GDPR, the Data Protection Act 2018, and any applicable guidance or codes of practice issued by the Information Commissioner's Office (ICO).</w:t>
      </w:r>
    </w:p>
    <w:p>
      <w:pPr>
        <w:spacing w:after="60" w:before="60"/>
      </w:pPr>
      <w:r>
        <w:t xml:space="preserve"/>
      </w:r>
    </w:p>
    <w:p>
      <w:pPr>
        <w:spacing w:after="60" w:before="60"/>
        <w:ind w:left="576"/>
      </w:pPr>
      <w:r>
        <w:rPr>
          <w:color w:val="1a1a1a"/>
          <w:sz w:val="22"/>
          <w:szCs w:val="22"/>
        </w:rPr>
        <w:t xml:space="preserve">"Personal Data", "Special Category Data", "Processing", "Data Subject", "Controller", and "Processor" have the meanings given in the UK GDPR.</w:t>
      </w:r>
    </w:p>
    <w:p>
      <w:pPr>
        <w:spacing w:after="60" w:before="60"/>
      </w:pPr>
      <w:r>
        <w:t xml:space="preserve"/>
      </w:r>
    </w:p>
    <w:p>
      <w:pPr>
        <w:spacing w:after="60" w:before="60"/>
        <w:ind w:left="576"/>
      </w:pPr>
      <w:r>
        <w:rPr>
          <w:color w:val="1a1a1a"/>
          <w:sz w:val="22"/>
          <w:szCs w:val="22"/>
        </w:rPr>
        <w:t xml:space="preserve">"Sub-Processor" means any third party engaged by AlwaysReady to process Personal Data on behalf of the Customer.</w:t>
      </w:r>
    </w:p>
    <w:p>
      <w:pPr>
        <w:spacing w:after="60" w:before="60"/>
      </w:pPr>
      <w:r>
        <w:t xml:space="preserve"/>
      </w:r>
    </w:p>
    <w:p>
      <w:pPr>
        <w:spacing w:after="60" w:before="60"/>
        <w:ind w:left="576"/>
      </w:pPr>
      <w:r>
        <w:rPr>
          <w:color w:val="1a1a1a"/>
          <w:sz w:val="22"/>
          <w:szCs w:val="22"/>
        </w:rPr>
        <w:t xml:space="preserve">"Security Incident" means any accidental or unlawful destruction, loss, alteration, unauthorised disclosure of, or access to, Personal Data.</w:t>
      </w:r>
    </w:p>
    <w:p>
      <w:pPr>
        <w:pStyle w:val="Heading2"/>
        <w:spacing w:after="80" w:before="320"/>
      </w:pPr>
      <w:r>
        <w:rPr>
          <w:b/>
          <w:bCs/>
          <w:color w:val="014D4E"/>
          <w:sz w:val="24"/>
          <w:szCs w:val="24"/>
        </w:rPr>
        <w:t xml:space="preserve">4. Subject Matter and Duration</w:t>
      </w:r>
    </w:p>
    <w:p>
      <w:pPr>
        <w:spacing w:after="80" w:before="80"/>
      </w:pPr>
      <w:r>
        <w:rPr>
          <w:b/>
          <w:bCs/>
          <w:color w:val="1a1a1a"/>
          <w:sz w:val="22"/>
          <w:szCs w:val="22"/>
        </w:rPr>
        <w:t xml:space="preserve">4.1 Subject matter.</w:t>
      </w:r>
    </w:p>
    <w:p>
      <w:pPr>
        <w:spacing w:after="80" w:before="80"/>
      </w:pPr>
      <w:r>
        <w:rPr>
          <w:color w:val="1a1a1a"/>
          <w:sz w:val="22"/>
          <w:szCs w:val="22"/>
        </w:rPr>
        <w:t xml:space="preserve">AlwaysReady processes Personal Data for the purpose of providing the Platform to the Customer.</w:t>
      </w:r>
    </w:p>
    <w:p>
      <w:pPr>
        <w:spacing w:after="60" w:before="60"/>
      </w:pPr>
      <w:r>
        <w:t xml:space="preserve"/>
      </w:r>
    </w:p>
    <w:p>
      <w:pPr>
        <w:spacing w:after="80" w:before="80"/>
      </w:pPr>
      <w:r>
        <w:rPr>
          <w:b/>
          <w:bCs/>
          <w:color w:val="1a1a1a"/>
          <w:sz w:val="22"/>
          <w:szCs w:val="22"/>
        </w:rPr>
        <w:t xml:space="preserve">4.2 Duration.</w:t>
      </w:r>
    </w:p>
    <w:p>
      <w:pPr>
        <w:spacing w:after="80" w:before="80"/>
      </w:pPr>
      <w:r>
        <w:rPr>
          <w:color w:val="1a1a1a"/>
          <w:sz w:val="22"/>
          <w:szCs w:val="22"/>
        </w:rPr>
        <w:t xml:space="preserve">This Agreement remains in force for the duration of the subscription agreement and until all Personal Data has been deleted in accordance with clause 11.</w:t>
      </w:r>
    </w:p>
    <w:p>
      <w:pPr>
        <w:spacing w:after="60" w:before="60"/>
      </w:pPr>
      <w:r>
        <w:t xml:space="preserve"/>
      </w:r>
    </w:p>
    <w:p>
      <w:pPr>
        <w:spacing w:after="80" w:before="80"/>
      </w:pPr>
      <w:r>
        <w:rPr>
          <w:b/>
          <w:bCs/>
          <w:color w:val="1a1a1a"/>
          <w:sz w:val="22"/>
          <w:szCs w:val="22"/>
        </w:rPr>
        <w:t xml:space="preserve">4.3 Nature of processing.</w:t>
      </w:r>
    </w:p>
    <w:p>
      <w:pPr>
        <w:spacing w:after="80" w:before="80"/>
      </w:pPr>
      <w:r>
        <w:rPr>
          <w:color w:val="1a1a1a"/>
          <w:sz w:val="22"/>
          <w:szCs w:val="22"/>
        </w:rPr>
        <w:t xml:space="preserve">Storage, retrieval, display, updating, and deletion of Personal Data entered into the Platform by the Customer.</w:t>
      </w:r>
    </w:p>
    <w:p>
      <w:pPr>
        <w:spacing w:after="60" w:before="60"/>
      </w:pPr>
      <w:r>
        <w:t xml:space="preserve"/>
      </w:r>
    </w:p>
    <w:p>
      <w:pPr>
        <w:spacing w:after="80" w:before="80"/>
      </w:pPr>
      <w:r>
        <w:rPr>
          <w:b/>
          <w:bCs/>
          <w:color w:val="1a1a1a"/>
          <w:sz w:val="22"/>
          <w:szCs w:val="22"/>
        </w:rPr>
        <w:t xml:space="preserve">4.4 Purpose of processing.</w:t>
      </w:r>
    </w:p>
    <w:p>
      <w:pPr>
        <w:spacing w:after="80" w:before="80"/>
      </w:pPr>
      <w:r>
        <w:rPr>
          <w:color w:val="1a1a1a"/>
          <w:sz w:val="22"/>
          <w:szCs w:val="22"/>
        </w:rPr>
        <w:t xml:space="preserve">To enable the Customer to manage CQC inspection readiness, maintain compliance records, store evidence, manage staff HR records, and receive platform support.</w:t>
      </w:r>
    </w:p>
    <w:p>
      <w:pPr>
        <w:pStyle w:val="Heading2"/>
        <w:spacing w:after="80" w:before="320"/>
      </w:pPr>
      <w:r>
        <w:rPr>
          <w:b/>
          <w:bCs/>
          <w:color w:val="014D4E"/>
          <w:sz w:val="24"/>
          <w:szCs w:val="24"/>
        </w:rPr>
        <w:t xml:space="preserve">5. Categories of Personal Data and Data Subjects</w:t>
      </w:r>
    </w:p>
    <w:p>
      <w:pPr>
        <w:spacing w:after="80" w:before="80"/>
      </w:pPr>
      <w:r>
        <w:rPr>
          <w:b/>
          <w:bCs/>
          <w:color w:val="1a1a1a"/>
          <w:sz w:val="22"/>
          <w:szCs w:val="22"/>
        </w:rPr>
        <w:t xml:space="preserve">5.1 Categories of Personal Data processed include:</w:t>
      </w:r>
    </w:p>
    <w:p>
      <w:pPr>
        <w:pStyle w:val="ListParagraph"/>
        <w:numPr>
          <w:ilvl w:val="0"/>
          <w:numId w:val="2"/>
        </w:numPr>
        <w:spacing w:after="60" w:before="60"/>
      </w:pPr>
      <w:r>
        <w:rPr>
          <w:color w:val="1a1a1a"/>
          <w:sz w:val="22"/>
          <w:szCs w:val="22"/>
        </w:rPr>
        <w:t xml:space="preserve">Staff employment details (name, job title, employment dates, contracted hours)</w:t>
      </w:r>
    </w:p>
    <w:p>
      <w:pPr>
        <w:pStyle w:val="ListParagraph"/>
        <w:numPr>
          <w:ilvl w:val="0"/>
          <w:numId w:val="2"/>
        </w:numPr>
        <w:spacing w:after="60" w:before="60"/>
      </w:pPr>
      <w:r>
        <w:rPr>
          <w:color w:val="1a1a1a"/>
          <w:sz w:val="22"/>
          <w:szCs w:val="22"/>
        </w:rPr>
        <w:t xml:space="preserve">Staff contact details (personal email address, mobile number)</w:t>
      </w:r>
    </w:p>
    <w:p>
      <w:pPr>
        <w:pStyle w:val="ListParagraph"/>
        <w:numPr>
          <w:ilvl w:val="0"/>
          <w:numId w:val="2"/>
        </w:numPr>
        <w:spacing w:after="60" w:before="60"/>
      </w:pPr>
      <w:r>
        <w:rPr>
          <w:color w:val="1a1a1a"/>
          <w:sz w:val="22"/>
          <w:szCs w:val="22"/>
        </w:rPr>
        <w:t xml:space="preserve">Special Category Data (ethnic origin, disability status, gender, date of birth, marital status) held for Equality Act 2010 compliance purposes</w:t>
      </w:r>
    </w:p>
    <w:p>
      <w:pPr>
        <w:pStyle w:val="ListParagraph"/>
        <w:numPr>
          <w:ilvl w:val="0"/>
          <w:numId w:val="2"/>
        </w:numPr>
        <w:spacing w:after="60" w:before="60"/>
      </w:pPr>
      <w:r>
        <w:rPr>
          <w:color w:val="1a1a1a"/>
          <w:sz w:val="22"/>
          <w:szCs w:val="22"/>
        </w:rPr>
        <w:t xml:space="preserve">DBS check details and right to work documentation references</w:t>
      </w:r>
    </w:p>
    <w:p>
      <w:pPr>
        <w:pStyle w:val="ListParagraph"/>
        <w:numPr>
          <w:ilvl w:val="0"/>
          <w:numId w:val="2"/>
        </w:numPr>
        <w:spacing w:after="60" w:before="60"/>
      </w:pPr>
      <w:r>
        <w:rPr>
          <w:color w:val="1a1a1a"/>
          <w:sz w:val="22"/>
          <w:szCs w:val="22"/>
        </w:rPr>
        <w:t xml:space="preserve">Training records and certificate information</w:t>
      </w:r>
    </w:p>
    <w:p>
      <w:pPr>
        <w:pStyle w:val="ListParagraph"/>
        <w:numPr>
          <w:ilvl w:val="0"/>
          <w:numId w:val="2"/>
        </w:numPr>
        <w:spacing w:after="60" w:before="60"/>
      </w:pPr>
      <w:r>
        <w:rPr>
          <w:color w:val="1a1a1a"/>
          <w:sz w:val="22"/>
          <w:szCs w:val="22"/>
        </w:rPr>
        <w:t xml:space="preserve">Supervision, appraisal, and absence records</w:t>
      </w:r>
    </w:p>
    <w:p>
      <w:pPr>
        <w:pStyle w:val="ListParagraph"/>
        <w:numPr>
          <w:ilvl w:val="0"/>
          <w:numId w:val="2"/>
        </w:numPr>
        <w:spacing w:after="60" w:before="60"/>
      </w:pPr>
      <w:r>
        <w:rPr>
          <w:color w:val="1a1a1a"/>
          <w:sz w:val="22"/>
          <w:szCs w:val="22"/>
        </w:rPr>
        <w:t xml:space="preserve">Emergency contact details</w:t>
      </w:r>
    </w:p>
    <w:p>
      <w:pPr>
        <w:pStyle w:val="ListParagraph"/>
        <w:numPr>
          <w:ilvl w:val="0"/>
          <w:numId w:val="2"/>
        </w:numPr>
        <w:spacing w:after="60" w:before="60"/>
      </w:pPr>
      <w:r>
        <w:rPr>
          <w:color w:val="1a1a1a"/>
          <w:sz w:val="22"/>
          <w:szCs w:val="22"/>
        </w:rPr>
        <w:t xml:space="preserve">Platform login credentials (stored in hashed form; plaintext passwords are never stored or accessible to AlwaysReady)</w:t>
      </w:r>
    </w:p>
    <w:p>
      <w:pPr>
        <w:pStyle w:val="ListParagraph"/>
        <w:numPr>
          <w:ilvl w:val="0"/>
          <w:numId w:val="2"/>
        </w:numPr>
        <w:spacing w:after="60" w:before="60"/>
      </w:pPr>
      <w:r>
        <w:rPr>
          <w:color w:val="1a1a1a"/>
          <w:sz w:val="22"/>
          <w:szCs w:val="22"/>
        </w:rPr>
        <w:t xml:space="preserve">Support correspondence, which may incidentally contain personal data about staff or service users</w:t>
      </w:r>
    </w:p>
    <w:p>
      <w:pPr>
        <w:spacing w:after="60" w:before="60"/>
      </w:pPr>
      <w:r>
        <w:t xml:space="preserve"/>
      </w:r>
    </w:p>
    <w:p>
      <w:pPr>
        <w:spacing w:after="80" w:before="80"/>
      </w:pPr>
      <w:r>
        <w:rPr>
          <w:b/>
          <w:bCs/>
          <w:color w:val="1a1a1a"/>
          <w:sz w:val="22"/>
          <w:szCs w:val="22"/>
        </w:rPr>
        <w:t xml:space="preserve">5.2 Categories of Data Subjects:</w:t>
      </w:r>
    </w:p>
    <w:p>
      <w:pPr>
        <w:spacing w:after="80" w:before="80"/>
      </w:pPr>
      <w:r>
        <w:rPr>
          <w:color w:val="1a1a1a"/>
          <w:sz w:val="22"/>
          <w:szCs w:val="22"/>
        </w:rPr>
        <w:t xml:space="preserve">Staff, managers, and other individuals whose data is entered into the Platform by the Customer.</w:t>
      </w:r>
    </w:p>
    <w:p>
      <w:pPr>
        <w:spacing w:after="60" w:before="60"/>
      </w:pPr>
      <w:r>
        <w:t xml:space="preserve"/>
      </w:r>
    </w:p>
    <w:p>
      <w:pPr>
        <w:spacing w:after="80" w:before="80"/>
      </w:pPr>
      <w:r>
        <w:rPr>
          <w:b/>
          <w:bCs/>
          <w:color w:val="1a1a1a"/>
          <w:sz w:val="22"/>
          <w:szCs w:val="22"/>
        </w:rPr>
        <w:t xml:space="preserve">5.3 Special Category Data.</w:t>
      </w:r>
    </w:p>
    <w:p>
      <w:pPr>
        <w:spacing w:after="80" w:before="80"/>
      </w:pPr>
      <w:r>
        <w:rPr>
          <w:color w:val="1a1a1a"/>
          <w:sz w:val="22"/>
          <w:szCs w:val="22"/>
        </w:rPr>
        <w:t xml:space="preserve">The Customer acknowledges that certain data processed via the Platform constitutes Special Category Data under Article 9 of the UK GDPR. The Customer warrants that it has a lawful basis for processing such data, including but not limited to Article 9(2)(b) (employment obligations) and the Equality Act 2010.</w:t>
      </w:r>
    </w:p>
    <w:p>
      <w:pPr>
        <w:pStyle w:val="Heading2"/>
        <w:spacing w:after="80" w:before="320"/>
      </w:pPr>
      <w:r>
        <w:rPr>
          <w:b/>
          <w:bCs/>
          <w:color w:val="014D4E"/>
          <w:sz w:val="24"/>
          <w:szCs w:val="24"/>
        </w:rPr>
        <w:t xml:space="preserve">6. Obligations of AlwaysReady</w:t>
      </w:r>
    </w:p>
    <w:p>
      <w:pPr>
        <w:spacing w:after="80" w:before="80"/>
      </w:pPr>
      <w:r>
        <w:rPr>
          <w:color w:val="1a1a1a"/>
          <w:sz w:val="22"/>
          <w:szCs w:val="22"/>
        </w:rPr>
        <w:t xml:space="preserve">AlwaysReady shall:</w:t>
      </w:r>
    </w:p>
    <w:p>
      <w:pPr>
        <w:pStyle w:val="ListParagraph"/>
        <w:numPr>
          <w:ilvl w:val="0"/>
          <w:numId w:val="2"/>
        </w:numPr>
        <w:spacing w:after="60" w:before="60"/>
      </w:pPr>
      <w:r>
        <w:rPr>
          <w:color w:val="1a1a1a"/>
          <w:sz w:val="22"/>
          <w:szCs w:val="22"/>
        </w:rPr>
        <w:t xml:space="preserve">Process Personal Data only on documented instructions from the Customer, as set out in this Agreement, unless required to do so by applicable law.</w:t>
      </w:r>
    </w:p>
    <w:p>
      <w:pPr>
        <w:pStyle w:val="ListParagraph"/>
        <w:numPr>
          <w:ilvl w:val="0"/>
          <w:numId w:val="2"/>
        </w:numPr>
        <w:spacing w:after="60" w:before="60"/>
      </w:pPr>
      <w:r>
        <w:rPr>
          <w:color w:val="1a1a1a"/>
          <w:sz w:val="22"/>
          <w:szCs w:val="22"/>
        </w:rPr>
        <w:t xml:space="preserve">Ensure that persons authorised to process Personal Data are subject to appropriate confidentiality obligations.</w:t>
      </w:r>
    </w:p>
    <w:p>
      <w:pPr>
        <w:pStyle w:val="ListParagraph"/>
        <w:numPr>
          <w:ilvl w:val="0"/>
          <w:numId w:val="2"/>
        </w:numPr>
        <w:spacing w:after="60" w:before="60"/>
      </w:pPr>
      <w:r>
        <w:rPr>
          <w:color w:val="1a1a1a"/>
          <w:sz w:val="22"/>
          <w:szCs w:val="22"/>
        </w:rPr>
        <w:t xml:space="preserve">Implement and maintain appropriate technical and organisational security measures as set out in clause 9.</w:t>
      </w:r>
    </w:p>
    <w:p>
      <w:pPr>
        <w:pStyle w:val="ListParagraph"/>
        <w:numPr>
          <w:ilvl w:val="0"/>
          <w:numId w:val="2"/>
        </w:numPr>
        <w:spacing w:after="60" w:before="60"/>
      </w:pPr>
      <w:r>
        <w:rPr>
          <w:color w:val="1a1a1a"/>
          <w:sz w:val="22"/>
          <w:szCs w:val="22"/>
        </w:rPr>
        <w:t xml:space="preserve">Assist the Customer in responding to Data Subject rights requests to the extent reasonably practicable given the nature of the processing.</w:t>
      </w:r>
    </w:p>
    <w:p>
      <w:pPr>
        <w:pStyle w:val="ListParagraph"/>
        <w:numPr>
          <w:ilvl w:val="0"/>
          <w:numId w:val="2"/>
        </w:numPr>
        <w:spacing w:after="60" w:before="60"/>
      </w:pPr>
      <w:r>
        <w:rPr>
          <w:color w:val="1a1a1a"/>
          <w:sz w:val="22"/>
          <w:szCs w:val="22"/>
        </w:rPr>
        <w:t xml:space="preserve">Assist the Customer in meeting its obligations under Articles 32 to 36 of the UK GDPR, including in relation to security, breach notification, data protection impact assessments, and prior consultation.</w:t>
      </w:r>
    </w:p>
    <w:p>
      <w:pPr>
        <w:pStyle w:val="ListParagraph"/>
        <w:numPr>
          <w:ilvl w:val="0"/>
          <w:numId w:val="2"/>
        </w:numPr>
        <w:spacing w:after="60" w:before="60"/>
      </w:pPr>
      <w:r>
        <w:rPr>
          <w:color w:val="1a1a1a"/>
          <w:sz w:val="22"/>
          <w:szCs w:val="22"/>
        </w:rPr>
        <w:t xml:space="preserve">On termination of this Agreement, delete or return all Personal Data at the Customer's election, subject to clause 11.</w:t>
      </w:r>
    </w:p>
    <w:p>
      <w:pPr>
        <w:pStyle w:val="ListParagraph"/>
        <w:numPr>
          <w:ilvl w:val="0"/>
          <w:numId w:val="2"/>
        </w:numPr>
        <w:spacing w:after="60" w:before="60"/>
      </w:pPr>
      <w:r>
        <w:rPr>
          <w:color w:val="1a1a1a"/>
          <w:sz w:val="22"/>
          <w:szCs w:val="22"/>
        </w:rPr>
        <w:t xml:space="preserve">Make available to the Customer all information reasonably necessary to demonstrate compliance with this Agreement.</w:t>
      </w:r>
    </w:p>
    <w:p>
      <w:pPr>
        <w:pStyle w:val="ListParagraph"/>
        <w:numPr>
          <w:ilvl w:val="0"/>
          <w:numId w:val="2"/>
        </w:numPr>
        <w:spacing w:after="60" w:before="60"/>
      </w:pPr>
      <w:r>
        <w:rPr>
          <w:color w:val="1a1a1a"/>
          <w:sz w:val="22"/>
          <w:szCs w:val="22"/>
        </w:rPr>
        <w:t xml:space="preserve">Notify the Customer promptly if, in AlwaysReady's opinion, any instruction infringes the Data Protection Legislation.</w:t>
      </w:r>
    </w:p>
    <w:p>
      <w:pPr>
        <w:pStyle w:val="Heading2"/>
        <w:spacing w:after="80" w:before="320"/>
      </w:pPr>
      <w:r>
        <w:rPr>
          <w:b/>
          <w:bCs/>
          <w:color w:val="014D4E"/>
          <w:sz w:val="24"/>
          <w:szCs w:val="24"/>
        </w:rPr>
        <w:t xml:space="preserve">7. Obligations of the Customer</w:t>
      </w:r>
    </w:p>
    <w:p>
      <w:pPr>
        <w:spacing w:after="80" w:before="80"/>
      </w:pPr>
      <w:r>
        <w:rPr>
          <w:color w:val="1a1a1a"/>
          <w:sz w:val="22"/>
          <w:szCs w:val="22"/>
        </w:rPr>
        <w:t xml:space="preserve">The Customer shall:</w:t>
      </w:r>
    </w:p>
    <w:p>
      <w:pPr>
        <w:pStyle w:val="ListParagraph"/>
        <w:numPr>
          <w:ilvl w:val="0"/>
          <w:numId w:val="2"/>
        </w:numPr>
        <w:spacing w:after="60" w:before="60"/>
      </w:pPr>
      <w:r>
        <w:rPr>
          <w:color w:val="1a1a1a"/>
          <w:sz w:val="22"/>
          <w:szCs w:val="22"/>
        </w:rPr>
        <w:t xml:space="preserve">Ensure that it has a lawful basis for processing all Personal Data entered into the Platform, including any Special Category Data.</w:t>
      </w:r>
    </w:p>
    <w:p>
      <w:pPr>
        <w:pStyle w:val="ListParagraph"/>
        <w:numPr>
          <w:ilvl w:val="0"/>
          <w:numId w:val="2"/>
        </w:numPr>
        <w:spacing w:after="60" w:before="60"/>
      </w:pPr>
      <w:r>
        <w:rPr>
          <w:color w:val="1a1a1a"/>
          <w:sz w:val="22"/>
          <w:szCs w:val="22"/>
        </w:rPr>
        <w:t xml:space="preserve">Ensure that Data Subjects have been informed of the processing of their data in accordance with Articles 13 and 14 of the UK GDPR.</w:t>
      </w:r>
    </w:p>
    <w:p>
      <w:pPr>
        <w:pStyle w:val="ListParagraph"/>
        <w:numPr>
          <w:ilvl w:val="0"/>
          <w:numId w:val="2"/>
        </w:numPr>
        <w:spacing w:after="60" w:before="60"/>
      </w:pPr>
      <w:r>
        <w:rPr>
          <w:color w:val="1a1a1a"/>
          <w:sz w:val="22"/>
          <w:szCs w:val="22"/>
        </w:rPr>
        <w:t xml:space="preserve">Comply with all applicable Data Protection Legislation in its use of the Platform.</w:t>
      </w:r>
    </w:p>
    <w:p>
      <w:pPr>
        <w:pStyle w:val="ListParagraph"/>
        <w:numPr>
          <w:ilvl w:val="0"/>
          <w:numId w:val="2"/>
        </w:numPr>
        <w:spacing w:after="60" w:before="60"/>
      </w:pPr>
      <w:r>
        <w:rPr>
          <w:color w:val="1a1a1a"/>
          <w:sz w:val="22"/>
          <w:szCs w:val="22"/>
        </w:rPr>
        <w:t xml:space="preserve">Ensure that any instructions given to AlwaysReady comply with applicable law.</w:t>
      </w:r>
    </w:p>
    <w:p>
      <w:pPr>
        <w:pStyle w:val="ListParagraph"/>
        <w:numPr>
          <w:ilvl w:val="0"/>
          <w:numId w:val="2"/>
        </w:numPr>
        <w:spacing w:after="60" w:before="60"/>
      </w:pPr>
      <w:r>
        <w:rPr>
          <w:color w:val="1a1a1a"/>
          <w:sz w:val="22"/>
          <w:szCs w:val="22"/>
        </w:rPr>
        <w:t xml:space="preserve">Be responsible for the accuracy, quality, and legality of the Personal Data entered into the Platform.</w:t>
      </w:r>
    </w:p>
    <w:p>
      <w:pPr>
        <w:pStyle w:val="ListParagraph"/>
        <w:numPr>
          <w:ilvl w:val="0"/>
          <w:numId w:val="2"/>
        </w:numPr>
        <w:spacing w:after="60" w:before="60"/>
      </w:pPr>
      <w:r>
        <w:rPr>
          <w:color w:val="1a1a1a"/>
          <w:sz w:val="22"/>
          <w:szCs w:val="22"/>
        </w:rPr>
        <w:t xml:space="preserve">Maintain its own record of processing activities as required by Article 30 of the UK GDPR.</w:t>
      </w:r>
    </w:p>
    <w:p>
      <w:pPr>
        <w:pStyle w:val="ListParagraph"/>
        <w:numPr>
          <w:ilvl w:val="0"/>
          <w:numId w:val="2"/>
        </w:numPr>
        <w:spacing w:after="60" w:before="60"/>
      </w:pPr>
      <w:r>
        <w:rPr>
          <w:color w:val="1a1a1a"/>
          <w:sz w:val="22"/>
          <w:szCs w:val="22"/>
        </w:rPr>
        <w:t xml:space="preserve">Ensure that all user accounts on the Platform are protected with multi-factor authentication, as required by the Platform.</w:t>
      </w:r>
    </w:p>
    <w:p>
      <w:pPr>
        <w:pStyle w:val="Heading2"/>
        <w:spacing w:after="80" w:before="320"/>
      </w:pPr>
      <w:r>
        <w:rPr>
          <w:b/>
          <w:bCs/>
          <w:color w:val="014D4E"/>
          <w:sz w:val="24"/>
          <w:szCs w:val="24"/>
        </w:rPr>
        <w:t xml:space="preserve">8. Sub-Processors</w:t>
      </w:r>
    </w:p>
    <w:p>
      <w:pPr>
        <w:spacing w:after="80" w:before="80"/>
      </w:pPr>
      <w:r>
        <w:rPr>
          <w:b/>
          <w:bCs/>
          <w:color w:val="1a1a1a"/>
          <w:sz w:val="22"/>
          <w:szCs w:val="22"/>
        </w:rPr>
        <w:t xml:space="preserve">8.1</w:t>
      </w:r>
    </w:p>
    <w:p>
      <w:pPr>
        <w:spacing w:after="80" w:before="80"/>
      </w:pPr>
      <w:r>
        <w:rPr>
          <w:color w:val="1a1a1a"/>
          <w:sz w:val="22"/>
          <w:szCs w:val="22"/>
        </w:rPr>
        <w:t xml:space="preserve">The Customer grants AlwaysReady general authorisation to engage Sub-Processors. AlwaysReady shall inform the Customer of any intended addition or replacement of Sub-Processors by updating this Agreement and providing at least 30 days' notice of material changes. The Customer may object to a new Sub-Processor on reasonable data protection grounds within that period.</w:t>
      </w:r>
    </w:p>
    <w:p>
      <w:pPr>
        <w:spacing w:after="60" w:before="60"/>
      </w:pPr>
      <w:r>
        <w:t xml:space="preserve"/>
      </w:r>
    </w:p>
    <w:p>
      <w:pPr>
        <w:spacing w:after="80" w:before="80"/>
      </w:pPr>
      <w:r>
        <w:rPr>
          <w:b/>
          <w:bCs/>
          <w:color w:val="1a1a1a"/>
          <w:sz w:val="22"/>
          <w:szCs w:val="22"/>
        </w:rPr>
        <w:t xml:space="preserve">8.2 Current Sub-Processors:</w:t>
      </w:r>
    </w:p>
    <w:p>
      <w:pPr>
        <w:spacing w:after="60" w:before="60"/>
      </w:pPr>
      <w:r>
        <w:t xml:space="preserve"/>
      </w:r>
    </w:p>
    <w:p>
      <w:pPr>
        <w:spacing w:after="60" w:before="60"/>
        <w:ind w:left="576"/>
      </w:pPr>
      <w:r>
        <w:rPr>
          <w:color w:val="1a1a1a"/>
          <w:sz w:val="22"/>
          <w:szCs w:val="22"/>
        </w:rPr>
        <w:t xml:space="preserve">Supabase Inc — database hosting and authentication infrastructure. Data hosted within the European Union. Transfer basis: EU adequacy decision (UK GDPR Article 45).</w:t>
      </w:r>
    </w:p>
    <w:p>
      <w:pPr>
        <w:spacing w:after="60" w:before="60"/>
      </w:pPr>
      <w:r>
        <w:t xml:space="preserve"/>
      </w:r>
    </w:p>
    <w:p>
      <w:pPr>
        <w:spacing w:after="60" w:before="60"/>
        <w:ind w:left="576"/>
      </w:pPr>
      <w:r>
        <w:rPr>
          <w:color w:val="1a1a1a"/>
          <w:sz w:val="22"/>
          <w:szCs w:val="22"/>
        </w:rPr>
        <w:t xml:space="preserve">Vercel Inc — platform hosting and deployment. Data processed in Frankfurt, European Union. Transfer basis: EU adequacy decision (UK GDPR Article 45).</w:t>
      </w:r>
    </w:p>
    <w:p>
      <w:pPr>
        <w:spacing w:after="60" w:before="60"/>
      </w:pPr>
      <w:r>
        <w:t xml:space="preserve"/>
      </w:r>
    </w:p>
    <w:p>
      <w:pPr>
        <w:spacing w:after="60" w:before="60"/>
        <w:ind w:left="576"/>
      </w:pPr>
      <w:r>
        <w:rPr>
          <w:color w:val="1a1a1a"/>
          <w:sz w:val="22"/>
          <w:szCs w:val="22"/>
        </w:rPr>
        <w:t xml:space="preserve">Resend Inc — transactional email delivery (United States). Data stored in the United States even when using EU sending regions. Transfer basis: EU-U.S. Data Privacy Framework (UK Extension) and Standard Contractual Clauses. Resend DPA is pre-signed and becomes active automatically on account creation.</w:t>
      </w:r>
    </w:p>
    <w:p>
      <w:pPr>
        <w:spacing w:after="60" w:before="60"/>
      </w:pPr>
      <w:r>
        <w:t xml:space="preserve"/>
      </w:r>
    </w:p>
    <w:p>
      <w:pPr>
        <w:spacing w:after="60" w:before="60"/>
        <w:ind w:left="576"/>
      </w:pPr>
      <w:r>
        <w:rPr>
          <w:color w:val="1a1a1a"/>
          <w:sz w:val="22"/>
          <w:szCs w:val="22"/>
        </w:rPr>
        <w:t xml:space="preserve">Anthropic PBC — AI-assisted drafting of internal support replies (United States). Support ticket content may be processed. AlwaysReady confirms that personal data is not used to train Anthropic's models under the API terms of service. Transfer basis: UK IDTA / SCCs. [Solicitor: confirm applicable mechanism.]</w:t>
      </w:r>
    </w:p>
    <w:p>
      <w:pPr>
        <w:spacing w:after="60" w:before="60"/>
      </w:pPr>
      <w:r>
        <w:t xml:space="preserve"/>
      </w:r>
    </w:p>
    <w:p>
      <w:pPr>
        <w:spacing w:after="60" w:before="60"/>
        <w:ind w:left="576"/>
      </w:pPr>
      <w:r>
        <w:rPr>
          <w:color w:val="1a1a1a"/>
          <w:sz w:val="22"/>
          <w:szCs w:val="22"/>
        </w:rPr>
        <w:t xml:space="preserve">Upstash Inc — Redis-based rate limiting infrastructure (United States). Processes IP addresses and request metadata only; no substantive personal data beyond transient request context. Transfer basis: UK IDTA / SCCs. [Solicitor: confirm applicable mechanism.]</w:t>
      </w:r>
    </w:p>
    <w:p>
      <w:pPr>
        <w:spacing w:after="60" w:before="60"/>
      </w:pPr>
      <w:r>
        <w:t xml:space="preserve"/>
      </w:r>
    </w:p>
    <w:p>
      <w:pPr>
        <w:spacing w:after="60" w:before="60"/>
        <w:ind w:left="576"/>
      </w:pPr>
      <w:r>
        <w:rPr>
          <w:color w:val="1a1a1a"/>
          <w:sz w:val="22"/>
          <w:szCs w:val="22"/>
        </w:rPr>
        <w:t xml:space="preserve">Sentry (Functional Software Inc) — error monitoring and diagnostics (United States). May capture request context and stack traces that incidentally include personal data. Transfer basis: UK IDTA / SCCs. [Solicitor: confirm applicable mechanism.]</w:t>
      </w:r>
    </w:p>
    <w:p>
      <w:pPr>
        <w:spacing w:after="60" w:before="60"/>
      </w:pPr>
      <w:r>
        <w:t xml:space="preserve"/>
      </w:r>
    </w:p>
    <w:p>
      <w:pPr>
        <w:spacing w:after="60" w:before="60"/>
        <w:ind w:left="576"/>
      </w:pPr>
      <w:r>
        <w:rPr>
          <w:color w:val="1a1a1a"/>
          <w:sz w:val="22"/>
          <w:szCs w:val="22"/>
        </w:rPr>
        <w:t xml:space="preserve">[Solicitor: confirm whether Cloudmersive (virus scanning) is still in use. If so, add here with transfer basis.]</w:t>
      </w:r>
    </w:p>
    <w:p>
      <w:pPr>
        <w:spacing w:after="60" w:before="60"/>
      </w:pPr>
      <w:r>
        <w:t xml:space="preserve"/>
      </w:r>
    </w:p>
    <w:p>
      <w:pPr>
        <w:spacing w:after="80" w:before="80"/>
      </w:pPr>
      <w:r>
        <w:rPr>
          <w:b/>
          <w:bCs/>
          <w:color w:val="1a1a1a"/>
          <w:sz w:val="22"/>
          <w:szCs w:val="22"/>
        </w:rPr>
        <w:t xml:space="preserve">8.3</w:t>
      </w:r>
    </w:p>
    <w:p>
      <w:pPr>
        <w:spacing w:after="80" w:before="80"/>
      </w:pPr>
      <w:r>
        <w:rPr>
          <w:color w:val="1a1a1a"/>
          <w:sz w:val="22"/>
          <w:szCs w:val="22"/>
        </w:rPr>
        <w:t xml:space="preserve">AlwaysReady shall ensure that all Sub-Processors are subject to data protection obligations equivalent to those set out in this Agreement, by way of written contract.</w:t>
      </w:r>
    </w:p>
    <w:p>
      <w:pPr>
        <w:pStyle w:val="Heading2"/>
        <w:spacing w:after="80" w:before="320"/>
      </w:pPr>
      <w:r>
        <w:rPr>
          <w:b/>
          <w:bCs/>
          <w:color w:val="014D4E"/>
          <w:sz w:val="24"/>
          <w:szCs w:val="24"/>
        </w:rPr>
        <w:t xml:space="preserve">9. Security Measures</w:t>
      </w:r>
    </w:p>
    <w:p>
      <w:pPr>
        <w:spacing w:after="80" w:before="80"/>
      </w:pPr>
      <w:r>
        <w:rPr>
          <w:color w:val="1a1a1a"/>
          <w:sz w:val="22"/>
          <w:szCs w:val="22"/>
        </w:rPr>
        <w:t xml:space="preserve">AlwaysReady implements and maintains the following technical and organisational security measures:</w:t>
      </w:r>
    </w:p>
    <w:p>
      <w:pPr>
        <w:pStyle w:val="ListParagraph"/>
        <w:numPr>
          <w:ilvl w:val="0"/>
          <w:numId w:val="2"/>
        </w:numPr>
        <w:spacing w:after="60" w:before="60"/>
      </w:pPr>
      <w:r>
        <w:rPr>
          <w:color w:val="1a1a1a"/>
          <w:sz w:val="22"/>
          <w:szCs w:val="22"/>
        </w:rPr>
        <w:t xml:space="preserve">Encryption of all Personal Data at rest and in transit (TLS 1.2+ in transit; AES-256 at rest).</w:t>
      </w:r>
    </w:p>
    <w:p>
      <w:pPr>
        <w:pStyle w:val="ListParagraph"/>
        <w:numPr>
          <w:ilvl w:val="0"/>
          <w:numId w:val="2"/>
        </w:numPr>
        <w:spacing w:after="60" w:before="60"/>
      </w:pPr>
      <w:r>
        <w:rPr>
          <w:color w:val="1a1a1a"/>
          <w:sz w:val="22"/>
          <w:szCs w:val="22"/>
        </w:rPr>
        <w:t xml:space="preserve">Row-level security enforced at the database layer, ensuring complete isolation of each Customer's data from other organisations.</w:t>
      </w:r>
    </w:p>
    <w:p>
      <w:pPr>
        <w:pStyle w:val="ListParagraph"/>
        <w:numPr>
          <w:ilvl w:val="0"/>
          <w:numId w:val="2"/>
        </w:numPr>
        <w:spacing w:after="60" w:before="60"/>
      </w:pPr>
      <w:r>
        <w:rPr>
          <w:color w:val="1a1a1a"/>
          <w:sz w:val="22"/>
          <w:szCs w:val="22"/>
        </w:rPr>
        <w:t xml:space="preserve">Restriction of file types accepted for upload to a defined permitted list (.docx, .xlsx only).</w:t>
      </w:r>
    </w:p>
    <w:p>
      <w:pPr>
        <w:pStyle w:val="ListParagraph"/>
        <w:numPr>
          <w:ilvl w:val="0"/>
          <w:numId w:val="2"/>
        </w:numPr>
        <w:spacing w:after="60" w:before="60"/>
      </w:pPr>
      <w:r>
        <w:rPr>
          <w:color w:val="1a1a1a"/>
          <w:sz w:val="22"/>
          <w:szCs w:val="22"/>
        </w:rPr>
        <w:t xml:space="preserve">Automated malware scanning of uploaded files prior to storage.</w:t>
      </w:r>
    </w:p>
    <w:p>
      <w:pPr>
        <w:pStyle w:val="ListParagraph"/>
        <w:numPr>
          <w:ilvl w:val="0"/>
          <w:numId w:val="2"/>
        </w:numPr>
        <w:spacing w:after="60" w:before="60"/>
      </w:pPr>
      <w:r>
        <w:rPr>
          <w:color w:val="1a1a1a"/>
          <w:sz w:val="22"/>
          <w:szCs w:val="22"/>
        </w:rPr>
        <w:t xml:space="preserve">Role-based access controls limiting access to Personal Data to authorised users only.</w:t>
      </w:r>
    </w:p>
    <w:p>
      <w:pPr>
        <w:pStyle w:val="ListParagraph"/>
        <w:numPr>
          <w:ilvl w:val="0"/>
          <w:numId w:val="2"/>
        </w:numPr>
        <w:spacing w:after="60" w:before="60"/>
      </w:pPr>
      <w:r>
        <w:rPr>
          <w:color w:val="1a1a1a"/>
          <w:sz w:val="22"/>
          <w:szCs w:val="22"/>
        </w:rPr>
        <w:t xml:space="preserve">Multi-factor authentication mandatory for all user accounts on the Platform.</w:t>
      </w:r>
    </w:p>
    <w:p>
      <w:pPr>
        <w:pStyle w:val="ListParagraph"/>
        <w:numPr>
          <w:ilvl w:val="0"/>
          <w:numId w:val="2"/>
        </w:numPr>
        <w:spacing w:after="60" w:before="60"/>
      </w:pPr>
      <w:r>
        <w:rPr>
          <w:color w:val="1a1a1a"/>
          <w:sz w:val="22"/>
          <w:szCs w:val="22"/>
        </w:rPr>
        <w:t xml:space="preserve">Automatic session timeout after a period of inactivity.</w:t>
      </w:r>
    </w:p>
    <w:p>
      <w:pPr>
        <w:pStyle w:val="ListParagraph"/>
        <w:numPr>
          <w:ilvl w:val="0"/>
          <w:numId w:val="2"/>
        </w:numPr>
        <w:spacing w:after="60" w:before="60"/>
      </w:pPr>
      <w:r>
        <w:rPr>
          <w:color w:val="1a1a1a"/>
          <w:sz w:val="22"/>
          <w:szCs w:val="22"/>
        </w:rPr>
        <w:t xml:space="preserve">Audit logging of all changes to compliance records.</w:t>
      </w:r>
    </w:p>
    <w:p>
      <w:pPr>
        <w:pStyle w:val="ListParagraph"/>
        <w:numPr>
          <w:ilvl w:val="0"/>
          <w:numId w:val="2"/>
        </w:numPr>
        <w:spacing w:after="60" w:before="60"/>
      </w:pPr>
      <w:r>
        <w:rPr>
          <w:color w:val="1a1a1a"/>
          <w:sz w:val="22"/>
          <w:szCs w:val="22"/>
        </w:rPr>
        <w:t xml:space="preserve">Regular security reviews of the Platform and its infrastructure.</w:t>
      </w:r>
    </w:p>
    <w:p>
      <w:pPr>
        <w:pStyle w:val="ListParagraph"/>
        <w:numPr>
          <w:ilvl w:val="0"/>
          <w:numId w:val="2"/>
        </w:numPr>
        <w:spacing w:after="60" w:before="60"/>
      </w:pPr>
      <w:r>
        <w:rPr>
          <w:color w:val="1a1a1a"/>
          <w:sz w:val="22"/>
          <w:szCs w:val="22"/>
        </w:rPr>
        <w:t xml:space="preserve">Access to production systems restricted to named individuals with a legitimate operational need.</w:t>
      </w:r>
    </w:p>
    <w:p>
      <w:pPr>
        <w:pStyle w:val="Heading2"/>
        <w:spacing w:after="80" w:before="320"/>
      </w:pPr>
      <w:r>
        <w:rPr>
          <w:b/>
          <w:bCs/>
          <w:color w:val="014D4E"/>
          <w:sz w:val="24"/>
          <w:szCs w:val="24"/>
        </w:rPr>
        <w:t xml:space="preserve">10. Security Incidents</w:t>
      </w:r>
    </w:p>
    <w:p>
      <w:pPr>
        <w:spacing w:after="80" w:before="80"/>
      </w:pPr>
      <w:r>
        <w:rPr>
          <w:b/>
          <w:bCs/>
          <w:color w:val="1a1a1a"/>
          <w:sz w:val="22"/>
          <w:szCs w:val="22"/>
        </w:rPr>
        <w:t xml:space="preserve">10.1</w:t>
      </w:r>
    </w:p>
    <w:p>
      <w:pPr>
        <w:spacing w:after="80" w:before="80"/>
      </w:pPr>
      <w:r>
        <w:rPr>
          <w:color w:val="1a1a1a"/>
          <w:sz w:val="22"/>
          <w:szCs w:val="22"/>
        </w:rPr>
        <w:t xml:space="preserve">AlwaysReady shall notify the Customer without undue delay, and in any event within 72 hours of becoming aware, upon discovering a Security Incident affecting Personal Data processed under this Agreement.</w:t>
      </w:r>
    </w:p>
    <w:p>
      <w:pPr>
        <w:spacing w:after="60" w:before="60"/>
      </w:pPr>
      <w:r>
        <w:t xml:space="preserve"/>
      </w:r>
    </w:p>
    <w:p>
      <w:pPr>
        <w:spacing w:after="80" w:before="80"/>
      </w:pPr>
      <w:r>
        <w:rPr>
          <w:b/>
          <w:bCs/>
          <w:color w:val="1a1a1a"/>
          <w:sz w:val="22"/>
          <w:szCs w:val="22"/>
        </w:rPr>
        <w:t xml:space="preserve">10.2</w:t>
      </w:r>
    </w:p>
    <w:p>
      <w:pPr>
        <w:spacing w:after="80" w:before="80"/>
      </w:pPr>
      <w:r>
        <w:rPr>
          <w:color w:val="1a1a1a"/>
          <w:sz w:val="22"/>
          <w:szCs w:val="22"/>
        </w:rPr>
        <w:t xml:space="preserve">Notification shall include, to the extent known at the time: the nature of the Security Incident; the categories and approximate number of Data Subjects and records affected; the likely consequences; and the measures taken or proposed to address the incident.</w:t>
      </w:r>
    </w:p>
    <w:p>
      <w:pPr>
        <w:spacing w:after="60" w:before="60"/>
      </w:pPr>
      <w:r>
        <w:t xml:space="preserve"/>
      </w:r>
    </w:p>
    <w:p>
      <w:pPr>
        <w:spacing w:after="80" w:before="80"/>
      </w:pPr>
      <w:r>
        <w:rPr>
          <w:b/>
          <w:bCs/>
          <w:color w:val="1a1a1a"/>
          <w:sz w:val="22"/>
          <w:szCs w:val="22"/>
        </w:rPr>
        <w:t xml:space="preserve">10.3</w:t>
      </w:r>
    </w:p>
    <w:p>
      <w:pPr>
        <w:spacing w:after="80" w:before="80"/>
      </w:pPr>
      <w:r>
        <w:rPr>
          <w:color w:val="1a1a1a"/>
          <w:sz w:val="22"/>
          <w:szCs w:val="22"/>
        </w:rPr>
        <w:t xml:space="preserve">AlwaysReady shall cooperate with the Customer and take reasonable steps to assist in the investigation, mitigation, and remediation of any Security Incident.</w:t>
      </w:r>
    </w:p>
    <w:p>
      <w:pPr>
        <w:spacing w:after="60" w:before="60"/>
      </w:pPr>
      <w:r>
        <w:t xml:space="preserve"/>
      </w:r>
    </w:p>
    <w:p>
      <w:pPr>
        <w:spacing w:after="80" w:before="80"/>
      </w:pPr>
      <w:r>
        <w:rPr>
          <w:b/>
          <w:bCs/>
          <w:color w:val="1a1a1a"/>
          <w:sz w:val="22"/>
          <w:szCs w:val="22"/>
        </w:rPr>
        <w:t xml:space="preserve">10.4</w:t>
      </w:r>
    </w:p>
    <w:p>
      <w:pPr>
        <w:spacing w:after="80" w:before="80"/>
      </w:pPr>
      <w:r>
        <w:rPr>
          <w:color w:val="1a1a1a"/>
          <w:sz w:val="22"/>
          <w:szCs w:val="22"/>
        </w:rPr>
        <w:t xml:space="preserve">The Customer is responsible for notifying the ICO and affected Data Subjects as required under the Data Protection Legislation, based on information provided by AlwaysReady.</w:t>
      </w:r>
    </w:p>
    <w:p>
      <w:pPr>
        <w:pStyle w:val="Heading2"/>
        <w:spacing w:after="80" w:before="320"/>
      </w:pPr>
      <w:r>
        <w:rPr>
          <w:b/>
          <w:bCs/>
          <w:color w:val="014D4E"/>
          <w:sz w:val="24"/>
          <w:szCs w:val="24"/>
        </w:rPr>
        <w:t xml:space="preserve">11. Deletion and Return of Data</w:t>
      </w:r>
    </w:p>
    <w:p>
      <w:pPr>
        <w:spacing w:after="80" w:before="80"/>
      </w:pPr>
      <w:r>
        <w:rPr>
          <w:b/>
          <w:bCs/>
          <w:color w:val="1a1a1a"/>
          <w:sz w:val="22"/>
          <w:szCs w:val="22"/>
        </w:rPr>
        <w:t xml:space="preserve">11.1</w:t>
      </w:r>
    </w:p>
    <w:p>
      <w:pPr>
        <w:spacing w:after="80" w:before="80"/>
      </w:pPr>
      <w:r>
        <w:rPr>
          <w:color w:val="1a1a1a"/>
          <w:sz w:val="22"/>
          <w:szCs w:val="22"/>
        </w:rPr>
        <w:t xml:space="preserve">On termination of the subscription agreement, AlwaysReady shall retain the Customer's Personal Data for a period of 30 days. During this period the Customer may request a copy of their data via the Platform's export function or by contacting support@alwaysready.uk.</w:t>
      </w:r>
    </w:p>
    <w:p>
      <w:pPr>
        <w:spacing w:after="60" w:before="60"/>
      </w:pPr>
      <w:r>
        <w:t xml:space="preserve"/>
      </w:r>
    </w:p>
    <w:p>
      <w:pPr>
        <w:spacing w:after="80" w:before="80"/>
      </w:pPr>
      <w:r>
        <w:rPr>
          <w:b/>
          <w:bCs/>
          <w:color w:val="1a1a1a"/>
          <w:sz w:val="22"/>
          <w:szCs w:val="22"/>
        </w:rPr>
        <w:t xml:space="preserve">11.2</w:t>
      </w:r>
    </w:p>
    <w:p>
      <w:pPr>
        <w:spacing w:after="80" w:before="80"/>
      </w:pPr>
      <w:r>
        <w:rPr>
          <w:color w:val="1a1a1a"/>
          <w:sz w:val="22"/>
          <w:szCs w:val="22"/>
        </w:rPr>
        <w:t xml:space="preserve">Following the 30-day retention period, AlwaysReady shall permanently delete all Personal Data, including copies held by Sub-Processors, unless retention is required by applicable law (for example, financial records required under the Companies Act 2006 or tax legislation).</w:t>
      </w:r>
    </w:p>
    <w:p>
      <w:pPr>
        <w:spacing w:after="60" w:before="60"/>
      </w:pPr>
      <w:r>
        <w:t xml:space="preserve"/>
      </w:r>
    </w:p>
    <w:p>
      <w:pPr>
        <w:spacing w:after="80" w:before="80"/>
      </w:pPr>
      <w:r>
        <w:rPr>
          <w:b/>
          <w:bCs/>
          <w:color w:val="1a1a1a"/>
          <w:sz w:val="22"/>
          <w:szCs w:val="22"/>
        </w:rPr>
        <w:t xml:space="preserve">11.3</w:t>
      </w:r>
    </w:p>
    <w:p>
      <w:pPr>
        <w:spacing w:after="80" w:before="80"/>
      </w:pPr>
      <w:r>
        <w:rPr>
          <w:color w:val="1a1a1a"/>
          <w:sz w:val="22"/>
          <w:szCs w:val="22"/>
        </w:rPr>
        <w:t xml:space="preserve">AlwaysReady shall provide written confirmation of deletion on request.</w:t>
      </w:r>
    </w:p>
    <w:p>
      <w:pPr>
        <w:pStyle w:val="Heading2"/>
        <w:spacing w:after="80" w:before="320"/>
      </w:pPr>
      <w:r>
        <w:rPr>
          <w:b/>
          <w:bCs/>
          <w:color w:val="014D4E"/>
          <w:sz w:val="24"/>
          <w:szCs w:val="24"/>
        </w:rPr>
        <w:t xml:space="preserve">12. International Data Transfers</w:t>
      </w:r>
    </w:p>
    <w:p>
      <w:pPr>
        <w:spacing w:after="80" w:before="80"/>
      </w:pPr>
      <w:r>
        <w:rPr>
          <w:b/>
          <w:bCs/>
          <w:color w:val="1a1a1a"/>
          <w:sz w:val="22"/>
          <w:szCs w:val="22"/>
        </w:rPr>
        <w:t xml:space="preserve">12.1</w:t>
      </w:r>
    </w:p>
    <w:p>
      <w:pPr>
        <w:spacing w:after="80" w:before="80"/>
      </w:pPr>
      <w:r>
        <w:rPr>
          <w:color w:val="1a1a1a"/>
          <w:sz w:val="22"/>
          <w:szCs w:val="22"/>
        </w:rPr>
        <w:t xml:space="preserve">Personal Data is primarily stored on infrastructure hosted within the European Union (Supabase). Certain Sub-Processors are located in the United States, as identified in clause 8.2.</w:t>
      </w:r>
    </w:p>
    <w:p>
      <w:pPr>
        <w:spacing w:after="60" w:before="60"/>
      </w:pPr>
      <w:r>
        <w:t xml:space="preserve"/>
      </w:r>
    </w:p>
    <w:p>
      <w:pPr>
        <w:spacing w:after="80" w:before="80"/>
      </w:pPr>
      <w:r>
        <w:rPr>
          <w:b/>
          <w:bCs/>
          <w:color w:val="1a1a1a"/>
          <w:sz w:val="22"/>
          <w:szCs w:val="22"/>
        </w:rPr>
        <w:t xml:space="preserve">12.2</w:t>
      </w:r>
    </w:p>
    <w:p>
      <w:pPr>
        <w:spacing w:after="80" w:before="80"/>
      </w:pPr>
      <w:r>
        <w:rPr>
          <w:color w:val="1a1a1a"/>
          <w:sz w:val="22"/>
          <w:szCs w:val="22"/>
        </w:rPr>
        <w:t xml:space="preserve">AlwaysReady shall not transfer Personal Data to any country or territory outside the United Kingdom or European Economic Area except: (a) where an adequacy regulation applies; (b) where appropriate safeguards are in place pursuant to the UK IDTA, Standard Contractual Clauses, or another mechanism permitted under the UK GDPR; or (c) as required by applicable law.</w:t>
      </w:r>
    </w:p>
    <w:p>
      <w:pPr>
        <w:spacing w:after="60" w:before="60"/>
      </w:pPr>
      <w:r>
        <w:t xml:space="preserve"/>
      </w:r>
    </w:p>
    <w:p>
      <w:pPr>
        <w:spacing w:after="80" w:before="80"/>
      </w:pPr>
      <w:r>
        <w:rPr>
          <w:b/>
          <w:bCs/>
          <w:color w:val="1a1a1a"/>
          <w:sz w:val="22"/>
          <w:szCs w:val="22"/>
        </w:rPr>
        <w:t xml:space="preserve">12.3</w:t>
      </w:r>
    </w:p>
    <w:p>
      <w:pPr>
        <w:spacing w:after="80" w:before="80"/>
      </w:pPr>
      <w:r>
        <w:rPr>
          <w:color w:val="1a1a1a"/>
          <w:sz w:val="22"/>
          <w:szCs w:val="22"/>
        </w:rPr>
        <w:t xml:space="preserve">The applicable transfer mechanism for each US-based Sub-Processor is identified in clause 8.2. AlwaysReady shall maintain records of those mechanisms and make them available to the Customer on request.</w:t>
      </w:r>
    </w:p>
    <w:p>
      <w:pPr>
        <w:pStyle w:val="Heading2"/>
        <w:spacing w:after="80" w:before="320"/>
      </w:pPr>
      <w:r>
        <w:rPr>
          <w:b/>
          <w:bCs/>
          <w:color w:val="014D4E"/>
          <w:sz w:val="24"/>
          <w:szCs w:val="24"/>
        </w:rPr>
        <w:t xml:space="preserve">13. Audit Rights</w:t>
      </w:r>
    </w:p>
    <w:p>
      <w:pPr>
        <w:spacing w:after="80" w:before="80"/>
      </w:pPr>
      <w:r>
        <w:rPr>
          <w:b/>
          <w:bCs/>
          <w:color w:val="1a1a1a"/>
          <w:sz w:val="22"/>
          <w:szCs w:val="22"/>
        </w:rPr>
        <w:t xml:space="preserve">13.1</w:t>
      </w:r>
    </w:p>
    <w:p>
      <w:pPr>
        <w:spacing w:after="80" w:before="80"/>
      </w:pPr>
      <w:r>
        <w:rPr>
          <w:color w:val="1a1a1a"/>
          <w:sz w:val="22"/>
          <w:szCs w:val="22"/>
        </w:rPr>
        <w:t xml:space="preserve">AlwaysReady shall make available to the Customer all information reasonably necessary to demonstrate compliance with this Agreement and shall allow for and contribute to audits, including inspections, conducted by the Customer or an auditor appointed by the Customer.</w:t>
      </w:r>
    </w:p>
    <w:p>
      <w:pPr>
        <w:spacing w:after="60" w:before="60"/>
      </w:pPr>
      <w:r>
        <w:t xml:space="preserve"/>
      </w:r>
    </w:p>
    <w:p>
      <w:pPr>
        <w:spacing w:after="80" w:before="80"/>
      </w:pPr>
      <w:r>
        <w:rPr>
          <w:b/>
          <w:bCs/>
          <w:color w:val="1a1a1a"/>
          <w:sz w:val="22"/>
          <w:szCs w:val="22"/>
        </w:rPr>
        <w:t xml:space="preserve">13.2</w:t>
      </w:r>
    </w:p>
    <w:p>
      <w:pPr>
        <w:spacing w:after="80" w:before="80"/>
      </w:pPr>
      <w:r>
        <w:rPr>
          <w:color w:val="1a1a1a"/>
          <w:sz w:val="22"/>
          <w:szCs w:val="22"/>
        </w:rPr>
        <w:t xml:space="preserve">Any audit shall be conducted on no fewer than 14 days' written notice, at the Customer's expense, during normal business hours, and in a manner that does not unreasonably disrupt AlwaysReady's operations. AlwaysReady may require the Customer's auditor to execute a confidentiality agreement before participating.</w:t>
      </w:r>
    </w:p>
    <w:p>
      <w:pPr>
        <w:spacing w:after="60" w:before="60"/>
      </w:pPr>
      <w:r>
        <w:t xml:space="preserve"/>
      </w:r>
    </w:p>
    <w:p>
      <w:pPr>
        <w:spacing w:after="80" w:before="80"/>
      </w:pPr>
      <w:r>
        <w:rPr>
          <w:b/>
          <w:bCs/>
          <w:color w:val="1a1a1a"/>
          <w:sz w:val="22"/>
          <w:szCs w:val="22"/>
        </w:rPr>
        <w:t xml:space="preserve">13.3</w:t>
      </w:r>
    </w:p>
    <w:p>
      <w:pPr>
        <w:spacing w:after="80" w:before="80"/>
      </w:pPr>
      <w:r>
        <w:rPr>
          <w:color w:val="1a1a1a"/>
          <w:sz w:val="22"/>
          <w:szCs w:val="22"/>
        </w:rPr>
        <w:t xml:space="preserve">AlwaysReady may satisfy an audit request by providing a current third-party security certification or audit report in lieu of a direct inspection, where the Customer agrees this is sufficient.</w:t>
      </w:r>
    </w:p>
    <w:p>
      <w:pPr>
        <w:pStyle w:val="Heading2"/>
        <w:spacing w:after="80" w:before="320"/>
      </w:pPr>
      <w:r>
        <w:rPr>
          <w:b/>
          <w:bCs/>
          <w:color w:val="014D4E"/>
          <w:sz w:val="24"/>
          <w:szCs w:val="24"/>
        </w:rPr>
        <w:t xml:space="preserve">14. Data Protection Impact Assessments</w:t>
      </w:r>
    </w:p>
    <w:p>
      <w:pPr>
        <w:spacing w:after="80" w:before="80"/>
      </w:pPr>
      <w:r>
        <w:rPr>
          <w:color w:val="1a1a1a"/>
          <w:sz w:val="22"/>
          <w:szCs w:val="22"/>
        </w:rPr>
        <w:t xml:space="preserve">AlwaysReady shall, on request, provide reasonable assistance to the Customer in conducting data protection impact assessments and, where required, prior consultations with the ICO, to the extent that such assistance relates to AlwaysReady's processing under this Agreement.</w:t>
      </w:r>
    </w:p>
    <w:p>
      <w:pPr>
        <w:pStyle w:val="Heading2"/>
        <w:spacing w:after="80" w:before="320"/>
      </w:pPr>
      <w:r>
        <w:rPr>
          <w:b/>
          <w:bCs/>
          <w:color w:val="014D4E"/>
          <w:sz w:val="24"/>
          <w:szCs w:val="24"/>
        </w:rPr>
        <w:t xml:space="preserve">15. Liability</w:t>
      </w:r>
    </w:p>
    <w:p>
      <w:pPr>
        <w:spacing w:after="80" w:before="80"/>
      </w:pPr>
      <w:r>
        <w:rPr>
          <w:b/>
          <w:bCs/>
          <w:color w:val="1a1a1a"/>
          <w:sz w:val="22"/>
          <w:szCs w:val="22"/>
        </w:rPr>
        <w:t xml:space="preserve">15.1</w:t>
      </w:r>
    </w:p>
    <w:p>
      <w:pPr>
        <w:spacing w:after="80" w:before="80"/>
      </w:pPr>
      <w:r>
        <w:rPr>
          <w:color w:val="1a1a1a"/>
          <w:sz w:val="22"/>
          <w:szCs w:val="22"/>
        </w:rPr>
        <w:t xml:space="preserve">Each Party's liability under this Agreement shall be subject to the limitations and exclusions set out in the subscription agreement between the Parties.</w:t>
      </w:r>
    </w:p>
    <w:p>
      <w:pPr>
        <w:spacing w:after="60" w:before="60"/>
      </w:pPr>
      <w:r>
        <w:t xml:space="preserve"/>
      </w:r>
    </w:p>
    <w:p>
      <w:pPr>
        <w:spacing w:after="80" w:before="80"/>
      </w:pPr>
      <w:r>
        <w:rPr>
          <w:b/>
          <w:bCs/>
          <w:color w:val="1a1a1a"/>
          <w:sz w:val="22"/>
          <w:szCs w:val="22"/>
        </w:rPr>
        <w:t xml:space="preserve">15.2</w:t>
      </w:r>
    </w:p>
    <w:p>
      <w:pPr>
        <w:spacing w:after="80" w:before="80"/>
      </w:pPr>
      <w:r>
        <w:rPr>
          <w:color w:val="1a1a1a"/>
          <w:sz w:val="22"/>
          <w:szCs w:val="22"/>
        </w:rPr>
        <w:t xml:space="preserve">Nothing in this Agreement excludes or limits either Party's liability for death or personal injury caused by negligence, fraud or fraudulent misrepresentation, or any liability that cannot be excluded or limited by applicable law.</w:t>
      </w:r>
    </w:p>
    <w:p>
      <w:pPr>
        <w:pStyle w:val="Heading2"/>
        <w:spacing w:after="80" w:before="320"/>
      </w:pPr>
      <w:r>
        <w:rPr>
          <w:b/>
          <w:bCs/>
          <w:color w:val="014D4E"/>
          <w:sz w:val="24"/>
          <w:szCs w:val="24"/>
        </w:rPr>
        <w:t xml:space="preserve">16. General</w:t>
      </w:r>
    </w:p>
    <w:p>
      <w:pPr>
        <w:spacing w:after="80" w:before="80"/>
      </w:pPr>
      <w:r>
        <w:rPr>
          <w:b/>
          <w:bCs/>
          <w:color w:val="1a1a1a"/>
          <w:sz w:val="22"/>
          <w:szCs w:val="22"/>
        </w:rPr>
        <w:t xml:space="preserve">16.1 Governing law.</w:t>
      </w:r>
    </w:p>
    <w:p>
      <w:pPr>
        <w:spacing w:after="80" w:before="80"/>
      </w:pPr>
      <w:r>
        <w:rPr>
          <w:color w:val="1a1a1a"/>
          <w:sz w:val="22"/>
          <w:szCs w:val="22"/>
        </w:rPr>
        <w:t xml:space="preserve">This Agreement is governed by and construed in accordance with the laws of England and Wales. Each Party irrevocably submits to the exclusive jurisdiction of the courts of England and Wales.</w:t>
      </w:r>
    </w:p>
    <w:p>
      <w:pPr>
        <w:spacing w:after="60" w:before="60"/>
      </w:pPr>
      <w:r>
        <w:t xml:space="preserve"/>
      </w:r>
    </w:p>
    <w:p>
      <w:pPr>
        <w:spacing w:after="80" w:before="80"/>
      </w:pPr>
      <w:r>
        <w:rPr>
          <w:b/>
          <w:bCs/>
          <w:color w:val="1a1a1a"/>
          <w:sz w:val="22"/>
          <w:szCs w:val="22"/>
        </w:rPr>
        <w:t xml:space="preserve">16.2 Entire agreement.</w:t>
      </w:r>
    </w:p>
    <w:p>
      <w:pPr>
        <w:spacing w:after="80" w:before="80"/>
      </w:pPr>
      <w:r>
        <w:rPr>
          <w:color w:val="1a1a1a"/>
          <w:sz w:val="22"/>
          <w:szCs w:val="22"/>
        </w:rPr>
        <w:t xml:space="preserve">This Agreement, together with the subscription agreement, constitutes the entire agreement between the Parties in respect of data processing and supersedes all prior agreements and understandings relating to the same subject matter.</w:t>
      </w:r>
    </w:p>
    <w:p>
      <w:pPr>
        <w:spacing w:after="60" w:before="60"/>
      </w:pPr>
      <w:r>
        <w:t xml:space="preserve"/>
      </w:r>
    </w:p>
    <w:p>
      <w:pPr>
        <w:spacing w:after="80" w:before="80"/>
      </w:pPr>
      <w:r>
        <w:rPr>
          <w:b/>
          <w:bCs/>
          <w:color w:val="1a1a1a"/>
          <w:sz w:val="22"/>
          <w:szCs w:val="22"/>
        </w:rPr>
        <w:t xml:space="preserve">16.3 Amendments.</w:t>
      </w:r>
    </w:p>
    <w:p>
      <w:pPr>
        <w:spacing w:after="80" w:before="80"/>
      </w:pPr>
      <w:r>
        <w:rPr>
          <w:color w:val="1a1a1a"/>
          <w:sz w:val="22"/>
          <w:szCs w:val="22"/>
        </w:rPr>
        <w:t xml:space="preserve">AlwaysReady may update this Agreement from time to time to reflect changes in applicable law, Sub-Processors, or security measures. The Customer will be notified of any material changes with at least 30 days' notice. Continued use of the Platform following that notice period constitutes acceptance of the updated Agreement.</w:t>
      </w:r>
    </w:p>
    <w:p>
      <w:pPr>
        <w:spacing w:after="60" w:before="60"/>
      </w:pPr>
      <w:r>
        <w:t xml:space="preserve"/>
      </w:r>
    </w:p>
    <w:p>
      <w:pPr>
        <w:spacing w:after="80" w:before="80"/>
      </w:pPr>
      <w:r>
        <w:rPr>
          <w:b/>
          <w:bCs/>
          <w:color w:val="1a1a1a"/>
          <w:sz w:val="22"/>
          <w:szCs w:val="22"/>
        </w:rPr>
        <w:t xml:space="preserve">16.4 Severability.</w:t>
      </w:r>
    </w:p>
    <w:p>
      <w:pPr>
        <w:spacing w:after="80" w:before="80"/>
      </w:pPr>
      <w:r>
        <w:rPr>
          <w:color w:val="1a1a1a"/>
          <w:sz w:val="22"/>
          <w:szCs w:val="22"/>
        </w:rPr>
        <w:t xml:space="preserve">If any provision of this Agreement is found to be invalid or unenforceable, the remaining provisions shall continue in full force and effect.</w:t>
      </w:r>
    </w:p>
    <w:p>
      <w:pPr>
        <w:spacing w:after="60" w:before="60"/>
      </w:pPr>
      <w:r>
        <w:t xml:space="preserve"/>
      </w:r>
    </w:p>
    <w:p>
      <w:pPr>
        <w:spacing w:after="80" w:before="80"/>
      </w:pPr>
      <w:r>
        <w:rPr>
          <w:b/>
          <w:bCs/>
          <w:color w:val="1a1a1a"/>
          <w:sz w:val="22"/>
          <w:szCs w:val="22"/>
        </w:rPr>
        <w:t xml:space="preserve">16.5 Execution.</w:t>
      </w:r>
    </w:p>
    <w:p>
      <w:pPr>
        <w:spacing w:after="80" w:before="80"/>
      </w:pPr>
      <w:r>
        <w:rPr>
          <w:color w:val="1a1a1a"/>
          <w:sz w:val="22"/>
          <w:szCs w:val="22"/>
        </w:rPr>
        <w:t xml:space="preserve">This Agreement takes effect on the date the Customer creates an account on and/or subscribes to the Platform. No physical signature is required. A record of the Customer's acceptance is retained by AlwaysReady.</w:t>
      </w:r>
    </w:p>
    <w:p>
      <w:pPr>
        <w:pBdr>
          <w:bottom w:val="single" w:color="e2e8f0" w:sz="4"/>
        </w:pBdr>
        <w:spacing w:after="160" w:before="160"/>
      </w:pPr>
      <w:r>
        <w:t xml:space="preserve"/>
      </w:r>
    </w:p>
    <w:p>
      <w:pPr>
        <w:spacing w:after="80" w:before="160"/>
      </w:pPr>
      <w:r>
        <w:rPr>
          <w:b/>
          <w:bCs/>
          <w:color w:val="014D4E"/>
          <w:sz w:val="26"/>
          <w:szCs w:val="26"/>
        </w:rPr>
        <w:t xml:space="preserve">Schedule 1 — Processing Summary</w:t>
      </w:r>
    </w:p>
    <w:p>
      <w:pPr>
        <w:spacing w:after="60" w:before="60"/>
      </w:pPr>
      <w:r>
        <w:t xml:space="preserve"/>
      </w:r>
    </w:p>
    <w:p>
      <w:pPr>
        <w:spacing w:after="80" w:before="80"/>
      </w:pPr>
      <w:r>
        <w:rPr>
          <w:b/>
          <w:bCs/>
          <w:color w:val="1a1a1a"/>
          <w:sz w:val="22"/>
          <w:szCs w:val="22"/>
        </w:rPr>
        <w:t xml:space="preserve">Controller:</w:t>
      </w:r>
    </w:p>
    <w:p>
      <w:pPr>
        <w:spacing w:after="80" w:before="80"/>
      </w:pPr>
      <w:r>
        <w:rPr>
          <w:color w:val="1a1a1a"/>
          <w:sz w:val="22"/>
          <w:szCs w:val="22"/>
        </w:rPr>
        <w:t xml:space="preserve">The Customer (subscribing care organisation)</w:t>
      </w:r>
    </w:p>
    <w:p>
      <w:pPr>
        <w:spacing w:after="80" w:before="80"/>
      </w:pPr>
      <w:r>
        <w:rPr>
          <w:b/>
          <w:bCs/>
          <w:color w:val="1a1a1a"/>
          <w:sz w:val="22"/>
          <w:szCs w:val="22"/>
        </w:rPr>
        <w:t xml:space="preserve">Processor:</w:t>
      </w:r>
    </w:p>
    <w:p>
      <w:pPr>
        <w:spacing w:after="80" w:before="80"/>
      </w:pPr>
      <w:r>
        <w:rPr>
          <w:color w:val="1a1a1a"/>
          <w:sz w:val="22"/>
          <w:szCs w:val="22"/>
        </w:rPr>
        <w:t xml:space="preserve">Parker Digital &amp; Print Services Ltd (trading as AlwaysReady)</w:t>
      </w:r>
    </w:p>
    <w:p>
      <w:pPr>
        <w:spacing w:after="80" w:before="80"/>
      </w:pPr>
      <w:r>
        <w:rPr>
          <w:b/>
          <w:bCs/>
          <w:color w:val="1a1a1a"/>
          <w:sz w:val="22"/>
          <w:szCs w:val="22"/>
        </w:rPr>
        <w:t xml:space="preserve">Subject matter:</w:t>
      </w:r>
    </w:p>
    <w:p>
      <w:pPr>
        <w:spacing w:after="80" w:before="80"/>
      </w:pPr>
      <w:r>
        <w:rPr>
          <w:color w:val="1a1a1a"/>
          <w:sz w:val="22"/>
          <w:szCs w:val="22"/>
        </w:rPr>
        <w:t xml:space="preserve">Operation of the AlwaysReady Inspection Readiness Platform</w:t>
      </w:r>
    </w:p>
    <w:p>
      <w:pPr>
        <w:spacing w:after="80" w:before="80"/>
      </w:pPr>
      <w:r>
        <w:rPr>
          <w:b/>
          <w:bCs/>
          <w:color w:val="1a1a1a"/>
          <w:sz w:val="22"/>
          <w:szCs w:val="22"/>
        </w:rPr>
        <w:t xml:space="preserve">Duration:</w:t>
      </w:r>
    </w:p>
    <w:p>
      <w:pPr>
        <w:spacing w:after="80" w:before="80"/>
      </w:pPr>
      <w:r>
        <w:rPr>
          <w:color w:val="1a1a1a"/>
          <w:sz w:val="22"/>
          <w:szCs w:val="22"/>
        </w:rPr>
        <w:t xml:space="preserve">Duration of subscription plus 30-day post-termination retention period</w:t>
      </w:r>
    </w:p>
    <w:p>
      <w:pPr>
        <w:spacing w:after="80" w:before="80"/>
      </w:pPr>
      <w:r>
        <w:rPr>
          <w:b/>
          <w:bCs/>
          <w:color w:val="1a1a1a"/>
          <w:sz w:val="22"/>
          <w:szCs w:val="22"/>
        </w:rPr>
        <w:t xml:space="preserve">Nature of processing:</w:t>
      </w:r>
    </w:p>
    <w:p>
      <w:pPr>
        <w:spacing w:after="80" w:before="80"/>
      </w:pPr>
      <w:r>
        <w:rPr>
          <w:color w:val="1a1a1a"/>
          <w:sz w:val="22"/>
          <w:szCs w:val="22"/>
        </w:rPr>
        <w:t xml:space="preserve">Storage, retrieval, display, updating, deletion</w:t>
      </w:r>
    </w:p>
    <w:p>
      <w:pPr>
        <w:spacing w:after="80" w:before="80"/>
      </w:pPr>
      <w:r>
        <w:rPr>
          <w:b/>
          <w:bCs/>
          <w:color w:val="1a1a1a"/>
          <w:sz w:val="22"/>
          <w:szCs w:val="22"/>
        </w:rPr>
        <w:t xml:space="preserve">Purpose:</w:t>
      </w:r>
    </w:p>
    <w:p>
      <w:pPr>
        <w:spacing w:after="80" w:before="80"/>
      </w:pPr>
      <w:r>
        <w:rPr>
          <w:color w:val="1a1a1a"/>
          <w:sz w:val="22"/>
          <w:szCs w:val="22"/>
        </w:rPr>
        <w:t xml:space="preserve">CQC inspection readiness management; HR record management; compliance evidence storage; platform support</w:t>
      </w:r>
    </w:p>
    <w:p>
      <w:pPr>
        <w:spacing w:after="80" w:before="80"/>
      </w:pPr>
      <w:r>
        <w:rPr>
          <w:b/>
          <w:bCs/>
          <w:color w:val="1a1a1a"/>
          <w:sz w:val="22"/>
          <w:szCs w:val="22"/>
        </w:rPr>
        <w:t xml:space="preserve">Data subjects:</w:t>
      </w:r>
    </w:p>
    <w:p>
      <w:pPr>
        <w:spacing w:after="80" w:before="80"/>
      </w:pPr>
      <w:r>
        <w:rPr>
          <w:color w:val="1a1a1a"/>
          <w:sz w:val="22"/>
          <w:szCs w:val="22"/>
        </w:rPr>
        <w:t xml:space="preserve">Staff and managers of the Customer's care service(s)</w:t>
      </w:r>
    </w:p>
    <w:p>
      <w:pPr>
        <w:spacing w:after="80" w:before="80"/>
      </w:pPr>
      <w:r>
        <w:rPr>
          <w:b/>
          <w:bCs/>
          <w:color w:val="1a1a1a"/>
          <w:sz w:val="22"/>
          <w:szCs w:val="22"/>
        </w:rPr>
        <w:t xml:space="preserve">Personal data:</w:t>
      </w:r>
    </w:p>
    <w:p>
      <w:pPr>
        <w:spacing w:after="80" w:before="80"/>
      </w:pPr>
      <w:r>
        <w:rPr>
          <w:color w:val="1a1a1a"/>
          <w:sz w:val="22"/>
          <w:szCs w:val="22"/>
        </w:rPr>
        <w:t xml:space="preserve">Employment details, contact details, training records, absence records, supervision/appraisal records, DBS references, login credentials (hashed), support correspondence</w:t>
      </w:r>
    </w:p>
    <w:p>
      <w:pPr>
        <w:spacing w:after="80" w:before="80"/>
      </w:pPr>
      <w:r>
        <w:rPr>
          <w:b/>
          <w:bCs/>
          <w:color w:val="1a1a1a"/>
          <w:sz w:val="22"/>
          <w:szCs w:val="22"/>
        </w:rPr>
        <w:t xml:space="preserve">Special category data:</w:t>
      </w:r>
    </w:p>
    <w:p>
      <w:pPr>
        <w:spacing w:after="80" w:before="80"/>
      </w:pPr>
      <w:r>
        <w:rPr>
          <w:color w:val="1a1a1a"/>
          <w:sz w:val="22"/>
          <w:szCs w:val="22"/>
        </w:rPr>
        <w:t xml:space="preserve">Ethnic origin, disability status, gender, date of birth, marital status (Equality Act compliance)</w:t>
      </w:r>
    </w:p>
    <w:p>
      <w:pPr>
        <w:pBdr>
          <w:bottom w:val="single" w:color="e2e8f0" w:sz="4"/>
        </w:pBdr>
        <w:spacing w:after="160" w:before="160"/>
      </w:pPr>
      <w:r>
        <w:t xml:space="preserve"/>
      </w:r>
    </w:p>
    <w:p>
      <w:pPr>
        <w:shd w:fill="FEF3C7"/>
        <w:spacing w:after="80" w:before="80"/>
      </w:pPr>
      <w:r>
        <w:rPr>
          <w:b/>
          <w:bCs/>
          <w:color w:val="92400e"/>
          <w:sz w:val="20"/>
          <w:szCs w:val="20"/>
        </w:rPr>
        <w:t xml:space="preserve">FOR SOLICITOR REVIEW — DRAFT v2.0 — NOT FOR EXECUTION</w:t>
      </w:r>
    </w:p>
    <w:p>
      <w:pPr>
        <w:spacing w:after="60" w:before="60"/>
      </w:pPr>
      <w:r>
        <w:t xml:space="preserve"/>
      </w:r>
    </w:p>
    <w:p>
      <w:pPr>
        <w:spacing w:after="80" w:before="80"/>
      </w:pPr>
      <w:r>
        <w:rPr>
          <w:i/>
          <w:iCs/>
          <w:color w:val="1a1a1a"/>
          <w:sz w:val="22"/>
          <w:szCs w:val="22"/>
        </w:rPr>
        <w:t xml:space="preserve">Key items requiring solicitor input before execution:</w:t>
      </w:r>
    </w:p>
    <w:p>
      <w:pPr>
        <w:pStyle w:val="ListParagraph"/>
        <w:numPr>
          <w:ilvl w:val="0"/>
          <w:numId w:val="2"/>
        </w:numPr>
        <w:spacing w:after="60" w:before="60"/>
      </w:pPr>
      <w:r>
        <w:rPr>
          <w:color w:val="1a1a1a"/>
          <w:sz w:val="22"/>
          <w:szCs w:val="22"/>
        </w:rPr>
        <w:t xml:space="preserve">Confirm transfer mechanism (UK IDTA or SCCs) for each US Sub-Processor: Anthropic, Upstash, Sentry (Vercel: EU Frankfurt; Resend: EU-U.S. DPF + UK Extension + SCCs — confirmed)</w:t>
      </w:r>
    </w:p>
    <w:p>
      <w:pPr>
        <w:pStyle w:val="ListParagraph"/>
        <w:numPr>
          <w:ilvl w:val="0"/>
          <w:numId w:val="2"/>
        </w:numPr>
        <w:spacing w:after="60" w:before="60"/>
      </w:pPr>
      <w:r>
        <w:rPr>
          <w:color w:val="1a1a1a"/>
          <w:sz w:val="22"/>
          <w:szCs w:val="22"/>
        </w:rPr>
        <w:t xml:space="preserve">Confirm whether Cloudmersive (virus scanning) is still in use; add to clause 8.2 if so</w:t>
      </w:r>
    </w:p>
    <w:p>
      <w:pPr>
        <w:pStyle w:val="ListParagraph"/>
        <w:numPr>
          <w:ilvl w:val="0"/>
          <w:numId w:val="2"/>
        </w:numPr>
        <w:spacing w:after="60" w:before="60"/>
      </w:pPr>
      <w:r>
        <w:rPr>
          <w:color w:val="1a1a1a"/>
          <w:sz w:val="22"/>
          <w:szCs w:val="22"/>
        </w:rPr>
        <w:t xml:space="preserve">Review liability cap cross-reference against final T&amp;Cs wording</w:t>
      </w:r>
    </w:p>
    <w:p>
      <w:pPr>
        <w:pStyle w:val="ListParagraph"/>
        <w:numPr>
          <w:ilvl w:val="0"/>
          <w:numId w:val="2"/>
        </w:numPr>
        <w:spacing w:after="60" w:before="60"/>
      </w:pPr>
      <w:r>
        <w:rPr>
          <w:color w:val="1a1a1a"/>
          <w:sz w:val="22"/>
          <w:szCs w:val="22"/>
        </w:rPr>
        <w:t xml:space="preserve">Confirm click-to-accept execution (clause 16.5) is sufficient under English law for a B2B DPA</w:t>
      </w:r>
    </w:p>
    <w:p>
      <w:pPr>
        <w:pStyle w:val="ListParagraph"/>
        <w:numPr>
          <w:ilvl w:val="0"/>
          <w:numId w:val="2"/>
        </w:numPr>
        <w:spacing w:after="60" w:before="60"/>
      </w:pPr>
      <w:r>
        <w:rPr>
          <w:color w:val="1a1a1a"/>
          <w:sz w:val="22"/>
          <w:szCs w:val="22"/>
        </w:rPr>
        <w:t xml:space="preserve">Review 30-day post-termination retention period for defensibility under UK GDPR</w:t>
      </w:r>
    </w:p>
    <w:sectPr>
      <w:pgSz w:w="11906" w:h="16838" w:orient="portrait"/>
      <w:pgMar w:top="1584" w:right="1800" w:bottom="1584"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2026-08-23T18:26:14.771Z</dcterms:created>
  <dcterms:modified xsi:type="dcterms:W3CDTF">2026-08-23T18:26:14.776Z</dcterms:modified>
</cp:coreProperties>
</file>

<file path=docProps/custom.xml><?xml version="1.0" encoding="utf-8"?>
<Properties xmlns="http://schemas.openxmlformats.org/officeDocument/2006/custom-properties" xmlns:vt="http://schemas.openxmlformats.org/officeDocument/2006/docPropsVTypes"/>
</file>