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14D4E"/>
          <w:sz w:val="36"/>
          <w:szCs w:val="36"/>
        </w:rPr>
        <w:t xml:space="preserve">AlwaysReady</w:t>
      </w:r>
    </w:p>
    <w:p>
      <w:pPr>
        <w:spacing w:after="40" w:before="0"/>
      </w:pPr>
      <w:r>
        <w:rPr>
          <w:b/>
          <w:bCs/>
          <w:color w:val="014D4E"/>
          <w:sz w:val="28"/>
          <w:szCs w:val="28"/>
        </w:rPr>
        <w:t xml:space="preserve">DATA SECURITY STATEMENT</w:t>
      </w:r>
    </w:p>
    <w:p>
      <w:pPr>
        <w:spacing w:after="240" w:before="0"/>
      </w:pPr>
      <w:r>
        <w:rPr>
          <w:color w:val="666666"/>
          <w:sz w:val="17"/>
          <w:szCs w:val="17"/>
        </w:rPr>
        <w:t xml:space="preserve">Parker Digital &amp; Print Services  |  Version 1.0  |  August 2026  |  Review: August 2027</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6120"/>
      </w:tblGrid>
      <w:tr>
        <w:tc>
          <w:tcPr>
            <w:tcW w:type="dxa" w:w="3600"/>
          </w:tcPr>
          <w:p>
            <w:pPr>
              <w:spacing w:after="60" w:before="60"/>
            </w:pPr>
            <w:r>
              <w:rPr>
                <w:b/>
                <w:bCs/>
                <w:sz w:val="18"/>
                <w:szCs w:val="18"/>
              </w:rPr>
              <w:t xml:space="preserve">Organisation</w:t>
            </w:r>
          </w:p>
        </w:tc>
        <w:tc>
          <w:tcPr>
            <w:tcW w:type="dxa" w:w="6120"/>
          </w:tcPr>
          <w:p>
            <w:pPr>
              <w:spacing w:after="60" w:before="60"/>
            </w:pPr>
            <w:r>
              <w:rPr>
                <w:sz w:val="18"/>
                <w:szCs w:val="18"/>
              </w:rPr>
              <w:t xml:space="preserve">Parker Digital &amp; Print Services</w:t>
            </w:r>
          </w:p>
        </w:tc>
      </w:tr>
      <w:tr>
        <w:tc>
          <w:tcPr>
            <w:tcW w:type="dxa" w:w="3600"/>
            <w:shd w:fill="EAF4F4" w:color="EAF4F4" w:val="clear"/>
          </w:tcPr>
          <w:p>
            <w:pPr>
              <w:spacing w:after="60" w:before="60"/>
            </w:pPr>
            <w:r>
              <w:rPr>
                <w:b/>
                <w:bCs/>
                <w:sz w:val="18"/>
                <w:szCs w:val="18"/>
              </w:rPr>
              <w:t xml:space="preserve">Trading name</w:t>
            </w:r>
          </w:p>
        </w:tc>
        <w:tc>
          <w:tcPr>
            <w:tcW w:type="dxa" w:w="6120"/>
            <w:shd w:fill="EAF4F4" w:color="EAF4F4" w:val="clear"/>
          </w:tcPr>
          <w:p>
            <w:pPr>
              <w:spacing w:after="60" w:before="60"/>
            </w:pPr>
            <w:r>
              <w:rPr>
                <w:sz w:val="18"/>
                <w:szCs w:val="18"/>
              </w:rPr>
              <w:t xml:space="preserve">AlwaysReady</w:t>
            </w:r>
          </w:p>
        </w:tc>
      </w:tr>
      <w:tr>
        <w:tc>
          <w:tcPr>
            <w:tcW w:type="dxa" w:w="3600"/>
          </w:tcPr>
          <w:p>
            <w:pPr>
              <w:spacing w:after="60" w:before="60"/>
            </w:pPr>
            <w:r>
              <w:rPr>
                <w:b/>
                <w:bCs/>
                <w:sz w:val="18"/>
                <w:szCs w:val="18"/>
              </w:rPr>
              <w:t xml:space="preserve">Registered address</w:t>
            </w:r>
          </w:p>
        </w:tc>
        <w:tc>
          <w:tcPr>
            <w:tcW w:type="dxa" w:w="6120"/>
          </w:tcPr>
          <w:p>
            <w:pPr>
              <w:spacing w:after="60" w:before="60"/>
            </w:pPr>
            <w:r>
              <w:rPr>
                <w:sz w:val="18"/>
                <w:szCs w:val="18"/>
              </w:rPr>
              <w:t xml:space="preserve">82A James Carter Road, Mildenhall, IP28 7DE</w:t>
            </w:r>
          </w:p>
        </w:tc>
      </w:tr>
      <w:tr>
        <w:tc>
          <w:tcPr>
            <w:tcW w:type="dxa" w:w="3600"/>
            <w:shd w:fill="EAF4F4" w:color="EAF4F4" w:val="clear"/>
          </w:tcPr>
          <w:p>
            <w:pPr>
              <w:spacing w:after="60" w:before="60"/>
            </w:pPr>
            <w:r>
              <w:rPr>
                <w:b/>
                <w:bCs/>
                <w:sz w:val="18"/>
                <w:szCs w:val="18"/>
              </w:rPr>
              <w:t xml:space="preserve">Accountable person</w:t>
            </w:r>
          </w:p>
        </w:tc>
        <w:tc>
          <w:tcPr>
            <w:tcW w:type="dxa" w:w="6120"/>
            <w:shd w:fill="EAF4F4" w:color="EAF4F4" w:val="clear"/>
          </w:tcPr>
          <w:p>
            <w:pPr>
              <w:spacing w:after="60" w:before="60"/>
            </w:pPr>
            <w:r>
              <w:rPr>
                <w:sz w:val="18"/>
                <w:szCs w:val="18"/>
              </w:rPr>
              <w:t xml:space="preserve">Dr Ethna Parker, Founder</w:t>
            </w:r>
          </w:p>
        </w:tc>
      </w:tr>
      <w:tr>
        <w:tc>
          <w:tcPr>
            <w:tcW w:type="dxa" w:w="3600"/>
          </w:tcPr>
          <w:p>
            <w:pPr>
              <w:spacing w:after="60" w:before="60"/>
            </w:pPr>
            <w:r>
              <w:rPr>
                <w:b/>
                <w:bCs/>
                <w:sz w:val="18"/>
                <w:szCs w:val="18"/>
              </w:rPr>
              <w:t xml:space="preserve">Contact</w:t>
            </w:r>
          </w:p>
        </w:tc>
        <w:tc>
          <w:tcPr>
            <w:tcW w:type="dxa" w:w="6120"/>
          </w:tcPr>
          <w:p>
            <w:pPr>
              <w:spacing w:after="60" w:before="60"/>
            </w:pPr>
            <w:r>
              <w:rPr>
                <w:sz w:val="18"/>
                <w:szCs w:val="18"/>
              </w:rPr>
              <w:t xml:space="preserve">support@alwaysready.uk</w:t>
            </w:r>
          </w:p>
        </w:tc>
      </w:tr>
      <w:tr>
        <w:tc>
          <w:tcPr>
            <w:tcW w:type="dxa" w:w="3600"/>
            <w:shd w:fill="EAF4F4" w:color="EAF4F4" w:val="clear"/>
          </w:tcPr>
          <w:p>
            <w:pPr>
              <w:spacing w:after="60" w:before="60"/>
            </w:pPr>
            <w:r>
              <w:rPr>
                <w:b/>
                <w:bCs/>
                <w:sz w:val="18"/>
                <w:szCs w:val="18"/>
              </w:rPr>
              <w:t xml:space="preserve">Document version</w:t>
            </w:r>
          </w:p>
        </w:tc>
        <w:tc>
          <w:tcPr>
            <w:tcW w:type="dxa" w:w="6120"/>
            <w:shd w:fill="EAF4F4" w:color="EAF4F4" w:val="clear"/>
          </w:tcPr>
          <w:p>
            <w:pPr>
              <w:spacing w:after="60" w:before="60"/>
            </w:pPr>
            <w:r>
              <w:rPr>
                <w:sz w:val="18"/>
                <w:szCs w:val="18"/>
              </w:rPr>
              <w:t xml:space="preserve">1.0 — August 2026. Subject to solicitor review.</w:t>
            </w:r>
          </w:p>
        </w:tc>
      </w:tr>
    </w:tbl>
    <w:p>
      <w:pPr>
        <w:pBdr>
          <w:bottom w:val="single" w:color="D0E8E8" w:sz="1"/>
        </w:pBdr>
        <w:spacing w:after="200" w:before="200"/>
      </w:pPr>
    </w:p>
    <w:p>
      <w:pPr>
        <w:pStyle w:val="Heading1"/>
        <w:spacing w:after="120" w:before="320"/>
      </w:pPr>
      <w:r>
        <w:rPr>
          <w:b/>
          <w:bCs/>
          <w:color w:val="014D4E"/>
          <w:sz w:val="26"/>
          <w:szCs w:val="26"/>
        </w:rPr>
        <w:t xml:space="preserve">1. Purpose</w:t>
      </w:r>
    </w:p>
    <w:p>
      <w:pPr>
        <w:spacing w:after="80" w:before="60"/>
      </w:pPr>
      <w:r>
        <w:rPr>
          <w:sz w:val="20"/>
          <w:szCs w:val="20"/>
        </w:rPr>
        <w:t xml:space="preserve">This statement sets out how AlwaysReady (a brand of Parker Digital &amp; Print Services) protects the personal data of the organisations and individuals who use the AlwaysReady inspection readiness platform (portal.alwaysready.uk). It is intended for use by commissioners, procurement teams, and partner organisations assessing our data security practices.</w:t>
      </w:r>
    </w:p>
    <w:p>
      <w:pPr>
        <w:pStyle w:val="Heading1"/>
        <w:spacing w:after="120" w:before="320"/>
      </w:pPr>
      <w:r>
        <w:rPr>
          <w:b/>
          <w:bCs/>
          <w:color w:val="014D4E"/>
          <w:sz w:val="26"/>
          <w:szCs w:val="26"/>
        </w:rPr>
        <w:t xml:space="preserve">2. What AlwaysReady is</w:t>
      </w:r>
    </w:p>
    <w:p>
      <w:pPr>
        <w:spacing w:after="80" w:before="60"/>
      </w:pPr>
      <w:r>
        <w:rPr>
          <w:sz w:val="20"/>
          <w:szCs w:val="20"/>
        </w:rPr>
        <w:t xml:space="preserve">AlwaysReady is a software-as-a-service (SaaS) governance and inspection readiness platform for CQC-regulated adult social care providers. It enables Registered Managers to track compliance with the CQC assessment framework, record evidence, manage HR workforce records, and demonstrate continuous governance activity. It is a governance tool only — no resident or patient clinical data is held or processed.</w:t>
      </w:r>
    </w:p>
    <w:p>
      <w:pPr>
        <w:pStyle w:val="Heading1"/>
        <w:spacing w:after="120" w:before="320"/>
      </w:pPr>
      <w:r>
        <w:rPr>
          <w:b/>
          <w:bCs/>
          <w:color w:val="014D4E"/>
          <w:sz w:val="26"/>
          <w:szCs w:val="26"/>
        </w:rPr>
        <w:t xml:space="preserve">3. Legal framework and accountability</w:t>
      </w:r>
    </w:p>
    <w:p>
      <w:pPr>
        <w:spacing w:after="80" w:before="60"/>
      </w:pPr>
      <w:r>
        <w:rPr>
          <w:sz w:val="20"/>
          <w:szCs w:val="20"/>
        </w:rPr>
        <w:t xml:space="preserve">AlwaysReady operates in full compliance with the UK General Data Protection Regulation (UK GDPR) and the Data Protection Act 2018. Parker Digital &amp; Print Services acts as:</w:t>
      </w:r>
    </w:p>
    <w:p>
      <w:pPr>
        <w:spacing w:after="40" w:before="40"/>
        <w:ind w:left="360"/>
      </w:pPr>
      <w:r>
        <w:rPr>
          <w:color w:val="014D4E"/>
          <w:sz w:val="20"/>
          <w:szCs w:val="20"/>
        </w:rPr>
        <w:t xml:space="preserve">•  </w:t>
      </w:r>
      <w:r>
        <w:rPr>
          <w:sz w:val="20"/>
          <w:szCs w:val="20"/>
        </w:rPr>
        <w:t xml:space="preserve">Data Controller for personal data collected through the marketing website (alwaysready.uk)</w:t>
      </w:r>
    </w:p>
    <w:p>
      <w:pPr>
        <w:spacing w:after="40" w:before="40"/>
        <w:ind w:left="360"/>
      </w:pPr>
      <w:r>
        <w:rPr>
          <w:color w:val="014D4E"/>
          <w:sz w:val="20"/>
          <w:szCs w:val="20"/>
        </w:rPr>
        <w:t xml:space="preserve">•  </w:t>
      </w:r>
      <w:r>
        <w:rPr>
          <w:sz w:val="20"/>
          <w:szCs w:val="20"/>
        </w:rPr>
        <w:t xml:space="preserve">Data Processor for personal data entered into the platform by subscribing organisations, who are the Data Controllers for their own staff and organisational data</w:t>
      </w:r>
    </w:p>
    <w:p>
      <w:pPr>
        <w:spacing w:after="80" w:before="60"/>
      </w:pPr>
      <w:r>
        <w:rPr>
          <w:sz w:val="20"/>
          <w:szCs w:val="20"/>
        </w:rPr>
        <w:t xml:space="preserve">A Data Processing Agreement (DPA) governing the controller/processor relationship is available on request at support@alwaysready.uk. The DPA documents the scope of processing, security obligations, sub-processor arrangements, and the rights of data subjects.</w:t>
      </w:r>
    </w:p>
    <w:p>
      <w:pPr>
        <w:spacing w:after="80" w:before="60"/>
      </w:pPr>
      <w:r>
        <w:rPr>
          <w:sz w:val="20"/>
          <w:szCs w:val="20"/>
        </w:rPr>
        <w:t xml:space="preserve">Named accountability for data security rests with Dr Ethna Parker, Founder, Parker Digital &amp; Print Services.</w:t>
      </w:r>
    </w:p>
    <w:p>
      <w:pPr>
        <w:pStyle w:val="Heading1"/>
        <w:spacing w:after="120" w:before="320"/>
      </w:pPr>
      <w:r>
        <w:rPr>
          <w:b/>
          <w:bCs/>
          <w:color w:val="014D4E"/>
          <w:sz w:val="26"/>
          <w:szCs w:val="26"/>
        </w:rPr>
        <w:t xml:space="preserve">4. Personal data held on the platform</w:t>
      </w:r>
    </w:p>
    <w:p>
      <w:pPr>
        <w:pStyle w:val="Heading2"/>
        <w:spacing w:after="80" w:before="240"/>
      </w:pPr>
      <w:r>
        <w:rPr>
          <w:b/>
          <w:bCs/>
          <w:color w:val="014D4E"/>
          <w:sz w:val="22"/>
          <w:szCs w:val="22"/>
        </w:rPr>
        <w:t xml:space="preserve">4.1 Marketing website</w:t>
      </w:r>
    </w:p>
    <w:p>
      <w:pPr>
        <w:spacing w:after="80" w:before="60"/>
      </w:pPr>
      <w:r>
        <w:rPr>
          <w:sz w:val="20"/>
          <w:szCs w:val="20"/>
        </w:rPr>
        <w:t xml:space="preserve">Name, work email address, organisation name, CQC Location ID, service type, and marketing consent — collected at trial sign-up, newsletter subscription, or contact form submission. Held in a secure database; form submissions processed via the platform API.</w:t>
      </w:r>
    </w:p>
    <w:p>
      <w:pPr>
        <w:pStyle w:val="Heading2"/>
        <w:spacing w:after="80" w:before="240"/>
      </w:pPr>
      <w:r>
        <w:rPr>
          <w:b/>
          <w:bCs/>
          <w:color w:val="014D4E"/>
          <w:sz w:val="22"/>
          <w:szCs w:val="22"/>
        </w:rPr>
        <w:t xml:space="preserve">4.2 Platform — standard personal data</w:t>
      </w:r>
    </w:p>
    <w:p>
      <w:pPr>
        <w:spacing w:after="80" w:before="60"/>
      </w:pPr>
      <w:r>
        <w:rPr>
          <w:sz w:val="20"/>
          <w:szCs w:val="20"/>
        </w:rPr>
        <w:t xml:space="preserve">Organisation name and CQC Location ID; admin and team member names, email addresses, and roles; visitor account details (name, email, expiry date); support correspondence; subscription and billing status (card details held by Stripe, not by AlwaysReady).</w:t>
      </w:r>
    </w:p>
    <w:p>
      <w:pPr>
        <w:pStyle w:val="Heading2"/>
        <w:spacing w:after="80" w:before="240"/>
      </w:pPr>
      <w:r>
        <w:rPr>
          <w:b/>
          <w:bCs/>
          <w:color w:val="014D4E"/>
          <w:sz w:val="22"/>
          <w:szCs w:val="22"/>
        </w:rPr>
        <w:t xml:space="preserve">4.3 Platform — HR module</w:t>
      </w:r>
    </w:p>
    <w:p>
      <w:pPr>
        <w:spacing w:after="80" w:before="60"/>
      </w:pPr>
      <w:r>
        <w:rPr>
          <w:sz w:val="20"/>
          <w:szCs w:val="20"/>
        </w:rPr>
        <w:t xml:space="preserve">The platform HR module stores workforce records on behalf of subscribing organisations. This includes employment details, training and DBS records, supervision and appraisal dates, holiday allowances, and absence records. It also stores special category data (date of birth, gender, ethnicity, disability status, marital status) for equality monitoring purposes under the Equality Act 2010. Legal basis: Article 9(2)(b) UK GDPR — processing necessary for employment law obligations. HR data is accessible to Admin users within the subscribing organisation only.</w:t>
      </w:r>
    </w:p>
    <w:p>
      <w:pPr>
        <w:pStyle w:val="Heading2"/>
        <w:spacing w:after="80" w:before="240"/>
      </w:pPr>
      <w:r>
        <w:rPr>
          <w:b/>
          <w:bCs/>
          <w:color w:val="014D4E"/>
          <w:sz w:val="22"/>
          <w:szCs w:val="22"/>
        </w:rPr>
        <w:t xml:space="preserve">4.4 What we do not hold</w:t>
      </w:r>
    </w:p>
    <w:p>
      <w:pPr>
        <w:spacing w:after="80" w:before="60"/>
      </w:pPr>
      <w:r>
        <w:rPr>
          <w:sz w:val="20"/>
          <w:szCs w:val="20"/>
        </w:rPr>
        <w:t xml:space="preserve">AlwaysReady does not hold any resident or patient clinical data, care plans, medication records, daily notes, or any other person-centred care information. The platform is governance-only.</w:t>
      </w:r>
    </w:p>
    <w:p>
      <w:pPr>
        <w:pStyle w:val="Heading1"/>
        <w:spacing w:after="120" w:before="320"/>
      </w:pPr>
      <w:r>
        <w:rPr>
          <w:b/>
          <w:bCs/>
          <w:color w:val="014D4E"/>
          <w:sz w:val="26"/>
          <w:szCs w:val="26"/>
        </w:rPr>
        <w:t xml:space="preserve">5. Technical security controls</w:t>
      </w:r>
    </w:p>
    <w:p>
      <w:pPr>
        <w:spacing w:after="40" w:before="40"/>
        <w:ind w:left="360"/>
      </w:pPr>
      <w:r>
        <w:rPr>
          <w:color w:val="014D4E"/>
          <w:sz w:val="20"/>
          <w:szCs w:val="20"/>
        </w:rPr>
        <w:t xml:space="preserve">•  </w:t>
      </w:r>
      <w:r>
        <w:rPr>
          <w:sz w:val="20"/>
          <w:szCs w:val="20"/>
        </w:rPr>
        <w:t xml:space="preserve">Encryption in transit: all data transmitted between users and the platform uses TLS 1.2 or higher (HTTPS enforced on all routes)</w:t>
      </w:r>
    </w:p>
    <w:p>
      <w:pPr>
        <w:spacing w:after="40" w:before="40"/>
        <w:ind w:left="360"/>
      </w:pPr>
      <w:r>
        <w:rPr>
          <w:color w:val="014D4E"/>
          <w:sz w:val="20"/>
          <w:szCs w:val="20"/>
        </w:rPr>
        <w:t xml:space="preserve">•  </w:t>
      </w:r>
      <w:r>
        <w:rPr>
          <w:sz w:val="20"/>
          <w:szCs w:val="20"/>
        </w:rPr>
        <w:t xml:space="preserve">Encryption at rest: all data stored in Supabase (PostgreSQL) is encrypted at rest using AES-256</w:t>
      </w:r>
    </w:p>
    <w:p>
      <w:pPr>
        <w:spacing w:after="40" w:before="40"/>
        <w:ind w:left="360"/>
      </w:pPr>
      <w:r>
        <w:rPr>
          <w:color w:val="014D4E"/>
          <w:sz w:val="20"/>
          <w:szCs w:val="20"/>
        </w:rPr>
        <w:t xml:space="preserve">•  </w:t>
      </w:r>
      <w:r>
        <w:rPr>
          <w:sz w:val="20"/>
          <w:szCs w:val="20"/>
        </w:rPr>
        <w:t xml:space="preserve">Data residency: all platform data is stored on infrastructure in the European Economic Area (Supabase EU region). No personal data is transferred outside the EEA without appropriate safeguards</w:t>
      </w:r>
    </w:p>
    <w:p>
      <w:pPr>
        <w:spacing w:after="40" w:before="40"/>
        <w:ind w:left="360"/>
      </w:pPr>
      <w:r>
        <w:rPr>
          <w:color w:val="014D4E"/>
          <w:sz w:val="20"/>
          <w:szCs w:val="20"/>
        </w:rPr>
        <w:t xml:space="preserve">•  </w:t>
      </w:r>
      <w:r>
        <w:rPr>
          <w:sz w:val="20"/>
          <w:szCs w:val="20"/>
        </w:rPr>
        <w:t xml:space="preserve">Row-Level Security (RLS): enforced at the database layer — every table carrying personal data has RLS policies that prevent any organisation from accessing another organisation's data, even in the event of application-layer errors</w:t>
      </w:r>
    </w:p>
    <w:p>
      <w:pPr>
        <w:spacing w:after="40" w:before="40"/>
        <w:ind w:left="360"/>
      </w:pPr>
      <w:r>
        <w:rPr>
          <w:color w:val="014D4E"/>
          <w:sz w:val="20"/>
          <w:szCs w:val="20"/>
        </w:rPr>
        <w:t xml:space="preserve">•  </w:t>
      </w:r>
      <w:r>
        <w:rPr>
          <w:sz w:val="20"/>
          <w:szCs w:val="20"/>
        </w:rPr>
        <w:t xml:space="preserve">Multi-factor authentication (MFA): mandatory for all Admin and Staff platform accounts using TOTP-based authenticator apps. Visitor (read-only) accounts are exempt</w:t>
      </w:r>
    </w:p>
    <w:p>
      <w:pPr>
        <w:spacing w:after="40" w:before="40"/>
        <w:ind w:left="360"/>
      </w:pPr>
      <w:r>
        <w:rPr>
          <w:color w:val="014D4E"/>
          <w:sz w:val="20"/>
          <w:szCs w:val="20"/>
        </w:rPr>
        <w:t xml:space="preserve">•  </w:t>
      </w:r>
      <w:r>
        <w:rPr>
          <w:sz w:val="20"/>
          <w:szCs w:val="20"/>
        </w:rPr>
        <w:t xml:space="preserve">Role-based access control: three role tiers (Admin, User, Viewer) with granular permissions. HR data restricted to Admin only</w:t>
      </w:r>
    </w:p>
    <w:p>
      <w:pPr>
        <w:spacing w:after="40" w:before="40"/>
        <w:ind w:left="360"/>
      </w:pPr>
      <w:r>
        <w:rPr>
          <w:color w:val="014D4E"/>
          <w:sz w:val="20"/>
          <w:szCs w:val="20"/>
        </w:rPr>
        <w:t xml:space="preserve">•  </w:t>
      </w:r>
      <w:r>
        <w:rPr>
          <w:sz w:val="20"/>
          <w:szCs w:val="20"/>
        </w:rPr>
        <w:t xml:space="preserve">Session security: sessions expire automatically on browser close to protect data on shared devices</w:t>
      </w:r>
    </w:p>
    <w:p>
      <w:pPr>
        <w:spacing w:after="40" w:before="40"/>
        <w:ind w:left="360"/>
      </w:pPr>
      <w:r>
        <w:rPr>
          <w:color w:val="014D4E"/>
          <w:sz w:val="20"/>
          <w:szCs w:val="20"/>
        </w:rPr>
        <w:t xml:space="preserve">•  </w:t>
      </w:r>
      <w:r>
        <w:rPr>
          <w:sz w:val="20"/>
          <w:szCs w:val="20"/>
        </w:rPr>
        <w:t xml:space="preserve">File upload security: all uploaded evidence files are virus-scanned before storage. Accepted types limited to PDF, .docx, .xlsx, and images. Maximum file size 10 MB</w:t>
      </w:r>
    </w:p>
    <w:p>
      <w:pPr>
        <w:spacing w:after="40" w:before="40"/>
        <w:ind w:left="360"/>
      </w:pPr>
      <w:r>
        <w:rPr>
          <w:color w:val="014D4E"/>
          <w:sz w:val="20"/>
          <w:szCs w:val="20"/>
        </w:rPr>
        <w:t xml:space="preserve">•  </w:t>
      </w:r>
      <w:r>
        <w:rPr>
          <w:sz w:val="20"/>
          <w:szCs w:val="20"/>
        </w:rPr>
        <w:t xml:space="preserve">Append-only audit trail: every change to compliance records is written to an immutable, time-stamped history table. Records cannot be altered or deleted</w:t>
      </w:r>
    </w:p>
    <w:p>
      <w:pPr>
        <w:spacing w:after="40" w:before="40"/>
        <w:ind w:left="360"/>
      </w:pPr>
      <w:r>
        <w:rPr>
          <w:color w:val="014D4E"/>
          <w:sz w:val="20"/>
          <w:szCs w:val="20"/>
        </w:rPr>
        <w:t xml:space="preserve">•  </w:t>
      </w:r>
      <w:r>
        <w:rPr>
          <w:sz w:val="20"/>
          <w:szCs w:val="20"/>
        </w:rPr>
        <w:t xml:space="preserve">Security headers: HTTP security headers (Content-Security-Policy, X-Frame-Options, X-Content-Type-Options, Referrer-Policy, Permissions-Policy) applied to all responses</w:t>
      </w:r>
    </w:p>
    <w:p>
      <w:pPr>
        <w:spacing w:after="40" w:before="40"/>
        <w:ind w:left="360"/>
      </w:pPr>
      <w:r>
        <w:rPr>
          <w:color w:val="014D4E"/>
          <w:sz w:val="20"/>
          <w:szCs w:val="20"/>
        </w:rPr>
        <w:t xml:space="preserve">•  </w:t>
      </w:r>
      <w:r>
        <w:rPr>
          <w:sz w:val="20"/>
          <w:szCs w:val="20"/>
        </w:rPr>
        <w:t xml:space="preserve">DNS and DDoS protection: Cloudflare provides DNS, CDN, and DDoS mitigation for all platform traffic</w:t>
      </w:r>
    </w:p>
    <w:p>
      <w:pPr>
        <w:pStyle w:val="Heading1"/>
        <w:spacing w:after="120" w:before="320"/>
      </w:pPr>
      <w:r>
        <w:rPr>
          <w:b/>
          <w:bCs/>
          <w:color w:val="014D4E"/>
          <w:sz w:val="26"/>
          <w:szCs w:val="26"/>
        </w:rPr>
        <w:t xml:space="preserve">6. Organisational controls</w:t>
      </w:r>
    </w:p>
    <w:p>
      <w:pPr>
        <w:spacing w:after="40" w:before="40"/>
        <w:ind w:left="360"/>
      </w:pPr>
      <w:r>
        <w:rPr>
          <w:color w:val="014D4E"/>
          <w:sz w:val="20"/>
          <w:szCs w:val="20"/>
        </w:rPr>
        <w:t xml:space="preserve">•  </w:t>
      </w:r>
      <w:r>
        <w:rPr>
          <w:sz w:val="20"/>
          <w:szCs w:val="20"/>
        </w:rPr>
        <w:t xml:space="preserve">Access to production infrastructure is restricted to authorised personnel only</w:t>
      </w:r>
    </w:p>
    <w:p>
      <w:pPr>
        <w:spacing w:after="40" w:before="40"/>
        <w:ind w:left="360"/>
      </w:pPr>
      <w:r>
        <w:rPr>
          <w:color w:val="014D4E"/>
          <w:sz w:val="20"/>
          <w:szCs w:val="20"/>
        </w:rPr>
        <w:t xml:space="preserve">•  </w:t>
      </w:r>
      <w:r>
        <w:rPr>
          <w:sz w:val="20"/>
          <w:szCs w:val="20"/>
        </w:rPr>
        <w:t xml:space="preserve">Environment credentials (database passwords, API keys) are stored as encrypted environment variables and are never committed to source control</w:t>
      </w:r>
    </w:p>
    <w:p>
      <w:pPr>
        <w:spacing w:after="40" w:before="40"/>
        <w:ind w:left="360"/>
      </w:pPr>
      <w:r>
        <w:rPr>
          <w:color w:val="014D4E"/>
          <w:sz w:val="20"/>
          <w:szCs w:val="20"/>
        </w:rPr>
        <w:t xml:space="preserve">•  </w:t>
      </w:r>
      <w:r>
        <w:rPr>
          <w:sz w:val="20"/>
          <w:szCs w:val="20"/>
        </w:rPr>
        <w:t xml:space="preserve">Source code is version-controlled on a private GitHub repository with access restricted to authorised developers</w:t>
      </w:r>
    </w:p>
    <w:p>
      <w:pPr>
        <w:spacing w:after="40" w:before="40"/>
        <w:ind w:left="360"/>
      </w:pPr>
      <w:r>
        <w:rPr>
          <w:color w:val="014D4E"/>
          <w:sz w:val="20"/>
          <w:szCs w:val="20"/>
        </w:rPr>
        <w:t xml:space="preserve">•  </w:t>
      </w:r>
      <w:r>
        <w:rPr>
          <w:sz w:val="20"/>
          <w:szCs w:val="20"/>
        </w:rPr>
        <w:t xml:space="preserve">Database schema changes are made through version-controlled migration files — no ad hoc changes to production data</w:t>
      </w:r>
    </w:p>
    <w:p>
      <w:pPr>
        <w:spacing w:after="40" w:before="40"/>
        <w:ind w:left="360"/>
      </w:pPr>
      <w:r>
        <w:rPr>
          <w:color w:val="014D4E"/>
          <w:sz w:val="20"/>
          <w:szCs w:val="20"/>
        </w:rPr>
        <w:t xml:space="preserve">•  </w:t>
      </w:r>
      <w:r>
        <w:rPr>
          <w:sz w:val="20"/>
          <w:szCs w:val="20"/>
        </w:rPr>
        <w:t xml:space="preserve">Third-party sub-processors are assessed prior to onboarding and listed in our Privacy Policy at alwaysready.uk/legal</w:t>
      </w:r>
    </w:p>
    <w:p>
      <w:pPr>
        <w:spacing w:after="40" w:before="40"/>
        <w:ind w:left="360"/>
      </w:pPr>
      <w:r>
        <w:rPr>
          <w:color w:val="014D4E"/>
          <w:sz w:val="20"/>
          <w:szCs w:val="20"/>
        </w:rPr>
        <w:t xml:space="preserve">•  </w:t>
      </w:r>
      <w:r>
        <w:rPr>
          <w:sz w:val="20"/>
          <w:szCs w:val="20"/>
        </w:rPr>
        <w:t xml:space="preserve">This Data Security Statement is reviewed annually, or following any material change to infrastructure or data processing activities</w:t>
      </w:r>
    </w:p>
    <w:p>
      <w:pPr>
        <w:pStyle w:val="Heading1"/>
        <w:spacing w:after="120" w:before="320"/>
      </w:pPr>
      <w:r>
        <w:rPr>
          <w:b/>
          <w:bCs/>
          <w:color w:val="014D4E"/>
          <w:sz w:val="26"/>
          <w:szCs w:val="26"/>
        </w:rPr>
        <w:t xml:space="preserve">7. Sub-processors</w:t>
      </w:r>
    </w:p>
    <w:p>
      <w:pPr>
        <w:spacing w:after="80" w:before="60"/>
      </w:pPr>
      <w:r>
        <w:rPr>
          <w:sz w:val="20"/>
          <w:szCs w:val="20"/>
        </w:rPr>
        <w:t xml:space="preserve">AlwaysReady uses the following sub-processors to deliver the platform. All data transfers outside the UK are protected by UK adequacy decisions, Standard Contractual Clauses, or the UK International Data Transfer Agreement (IDTA).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shd w:fill="014D4E" w:color="014D4E" w:val="clear"/>
          </w:tcPr>
          <w:p>
            <w:pPr>
              <w:spacing w:after="60" w:before="60"/>
            </w:pPr>
            <w:r>
              <w:rPr>
                <w:b/>
                <w:bCs/>
                <w:color w:val="FFFFFF"/>
                <w:sz w:val="18"/>
                <w:szCs w:val="18"/>
              </w:rPr>
              <w:t xml:space="preserve">Sub-processor</w:t>
            </w:r>
          </w:p>
        </w:tc>
        <w:tc>
          <w:tcPr>
            <w:tcW w:type="dxa" w:w="3240"/>
            <w:shd w:fill="014D4E" w:color="014D4E" w:val="clear"/>
          </w:tcPr>
          <w:p>
            <w:pPr>
              <w:spacing w:after="60" w:before="60"/>
            </w:pPr>
            <w:r>
              <w:rPr>
                <w:b/>
                <w:bCs/>
                <w:color w:val="FFFFFF"/>
                <w:sz w:val="18"/>
                <w:szCs w:val="18"/>
              </w:rPr>
              <w:t xml:space="preserve">Purpose</w:t>
            </w:r>
          </w:p>
        </w:tc>
        <w:tc>
          <w:tcPr>
            <w:tcW w:type="dxa" w:w="3240"/>
            <w:shd w:fill="014D4E" w:color="014D4E" w:val="clear"/>
          </w:tcPr>
          <w:p>
            <w:pPr>
              <w:spacing w:after="60" w:before="60"/>
            </w:pPr>
            <w:r>
              <w:rPr>
                <w:b/>
                <w:bCs/>
                <w:color w:val="FFFFFF"/>
                <w:sz w:val="18"/>
                <w:szCs w:val="18"/>
              </w:rPr>
              <w:t xml:space="preserve">Data location</w:t>
            </w:r>
          </w:p>
        </w:tc>
      </w:tr>
      <w:tr>
        <w:tc>
          <w:tcPr>
            <w:tcW w:type="dxa" w:w="3240"/>
          </w:tcPr>
          <w:p>
            <w:pPr>
              <w:spacing w:after="60" w:before="60"/>
            </w:pPr>
            <w:r>
              <w:rPr>
                <w:b/>
                <w:bCs/>
                <w:sz w:val="18"/>
                <w:szCs w:val="18"/>
              </w:rPr>
              <w:t xml:space="preserve">Supabase</w:t>
            </w:r>
          </w:p>
        </w:tc>
        <w:tc>
          <w:tcPr>
            <w:tcW w:type="dxa" w:w="3240"/>
          </w:tcPr>
          <w:p>
            <w:pPr>
              <w:spacing w:after="60" w:before="60"/>
            </w:pPr>
            <w:r>
              <w:rPr>
                <w:b w:val="false"/>
                <w:bCs w:val="false"/>
                <w:sz w:val="18"/>
                <w:szCs w:val="18"/>
              </w:rPr>
              <w:t xml:space="preserve">Platform database, authentication, and file storage</w:t>
            </w:r>
          </w:p>
        </w:tc>
        <w:tc>
          <w:tcPr>
            <w:tcW w:type="dxa" w:w="3240"/>
          </w:tcPr>
          <w:p>
            <w:pPr>
              <w:spacing w:after="60" w:before="60"/>
            </w:pPr>
            <w:r>
              <w:rPr>
                <w:b w:val="false"/>
                <w:bCs w:val="false"/>
                <w:sz w:val="18"/>
                <w:szCs w:val="18"/>
              </w:rPr>
              <w:t xml:space="preserve">EU</w:t>
            </w:r>
          </w:p>
        </w:tc>
      </w:tr>
      <w:tr>
        <w:tc>
          <w:tcPr>
            <w:tcW w:type="dxa" w:w="3240"/>
            <w:shd w:fill="EAF4F4" w:color="EAF4F4" w:val="clear"/>
          </w:tcPr>
          <w:p>
            <w:pPr>
              <w:spacing w:after="60" w:before="60"/>
            </w:pPr>
            <w:r>
              <w:rPr>
                <w:b/>
                <w:bCs/>
                <w:sz w:val="18"/>
                <w:szCs w:val="18"/>
              </w:rPr>
              <w:t xml:space="preserve">Vercel</w:t>
            </w:r>
          </w:p>
        </w:tc>
        <w:tc>
          <w:tcPr>
            <w:tcW w:type="dxa" w:w="3240"/>
            <w:shd w:fill="EAF4F4" w:color="EAF4F4" w:val="clear"/>
          </w:tcPr>
          <w:p>
            <w:pPr>
              <w:spacing w:after="60" w:before="60"/>
            </w:pPr>
            <w:r>
              <w:rPr>
                <w:b w:val="false"/>
                <w:bCs w:val="false"/>
                <w:sz w:val="18"/>
                <w:szCs w:val="18"/>
              </w:rPr>
              <w:t xml:space="preserve">Platform hosting and serverless deployment</w:t>
            </w:r>
          </w:p>
        </w:tc>
        <w:tc>
          <w:tcPr>
            <w:tcW w:type="dxa" w:w="3240"/>
            <w:shd w:fill="EAF4F4" w:color="EAF4F4" w:val="clear"/>
          </w:tcPr>
          <w:p>
            <w:pPr>
              <w:spacing w:after="60" w:before="60"/>
            </w:pPr>
            <w:r>
              <w:rPr>
                <w:b w:val="false"/>
                <w:bCs w:val="false"/>
                <w:sz w:val="18"/>
                <w:szCs w:val="18"/>
              </w:rPr>
              <w:t xml:space="preserve">US (global edge)</w:t>
            </w:r>
          </w:p>
        </w:tc>
      </w:tr>
      <w:tr>
        <w:tc>
          <w:tcPr>
            <w:tcW w:type="dxa" w:w="3240"/>
          </w:tcPr>
          <w:p>
            <w:pPr>
              <w:spacing w:after="60" w:before="60"/>
            </w:pPr>
            <w:r>
              <w:rPr>
                <w:b/>
                <w:bCs/>
                <w:sz w:val="18"/>
                <w:szCs w:val="18"/>
              </w:rPr>
              <w:t xml:space="preserve">Cloudflare</w:t>
            </w:r>
          </w:p>
        </w:tc>
        <w:tc>
          <w:tcPr>
            <w:tcW w:type="dxa" w:w="3240"/>
          </w:tcPr>
          <w:p>
            <w:pPr>
              <w:spacing w:after="60" w:before="60"/>
            </w:pPr>
            <w:r>
              <w:rPr>
                <w:b w:val="false"/>
                <w:bCs w:val="false"/>
                <w:sz w:val="18"/>
                <w:szCs w:val="18"/>
              </w:rPr>
              <w:t xml:space="preserve">CDN, DNS, DDoS protection, inbound email routing</w:t>
            </w:r>
          </w:p>
        </w:tc>
        <w:tc>
          <w:tcPr>
            <w:tcW w:type="dxa" w:w="3240"/>
          </w:tcPr>
          <w:p>
            <w:pPr>
              <w:spacing w:after="60" w:before="60"/>
            </w:pPr>
            <w:r>
              <w:rPr>
                <w:b w:val="false"/>
                <w:bCs w:val="false"/>
                <w:sz w:val="18"/>
                <w:szCs w:val="18"/>
              </w:rPr>
              <w:t xml:space="preserve">US (global edge)</w:t>
            </w:r>
          </w:p>
        </w:tc>
      </w:tr>
      <w:tr>
        <w:tc>
          <w:tcPr>
            <w:tcW w:type="dxa" w:w="3240"/>
            <w:shd w:fill="EAF4F4" w:color="EAF4F4" w:val="clear"/>
          </w:tcPr>
          <w:p>
            <w:pPr>
              <w:spacing w:after="60" w:before="60"/>
            </w:pPr>
            <w:r>
              <w:rPr>
                <w:b/>
                <w:bCs/>
                <w:sz w:val="18"/>
                <w:szCs w:val="18"/>
              </w:rPr>
              <w:t xml:space="preserve">Stripe</w:t>
            </w:r>
          </w:p>
        </w:tc>
        <w:tc>
          <w:tcPr>
            <w:tcW w:type="dxa" w:w="3240"/>
            <w:shd w:fill="EAF4F4" w:color="EAF4F4" w:val="clear"/>
          </w:tcPr>
          <w:p>
            <w:pPr>
              <w:spacing w:after="60" w:before="60"/>
            </w:pPr>
            <w:r>
              <w:rPr>
                <w:b w:val="false"/>
                <w:bCs w:val="false"/>
                <w:sz w:val="18"/>
                <w:szCs w:val="18"/>
              </w:rPr>
              <w:t xml:space="preserve">Subscription payment processing</w:t>
            </w:r>
          </w:p>
        </w:tc>
        <w:tc>
          <w:tcPr>
            <w:tcW w:type="dxa" w:w="3240"/>
            <w:shd w:fill="EAF4F4" w:color="EAF4F4" w:val="clear"/>
          </w:tcPr>
          <w:p>
            <w:pPr>
              <w:spacing w:after="60" w:before="60"/>
            </w:pPr>
            <w:r>
              <w:rPr>
                <w:b w:val="false"/>
                <w:bCs w:val="false"/>
                <w:sz w:val="18"/>
                <w:szCs w:val="18"/>
              </w:rPr>
              <w:t xml:space="preserve">US / UK</w:t>
            </w:r>
          </w:p>
        </w:tc>
      </w:tr>
      <w:tr>
        <w:tc>
          <w:tcPr>
            <w:tcW w:type="dxa" w:w="3240"/>
          </w:tcPr>
          <w:p>
            <w:pPr>
              <w:spacing w:after="60" w:before="60"/>
            </w:pPr>
            <w:r>
              <w:rPr>
                <w:b/>
                <w:bCs/>
                <w:sz w:val="18"/>
                <w:szCs w:val="18"/>
              </w:rPr>
              <w:t xml:space="preserve">Resend</w:t>
            </w:r>
          </w:p>
        </w:tc>
        <w:tc>
          <w:tcPr>
            <w:tcW w:type="dxa" w:w="3240"/>
          </w:tcPr>
          <w:p>
            <w:pPr>
              <w:spacing w:after="60" w:before="60"/>
            </w:pPr>
            <w:r>
              <w:rPr>
                <w:b w:val="false"/>
                <w:bCs w:val="false"/>
                <w:sz w:val="18"/>
                <w:szCs w:val="18"/>
              </w:rPr>
              <w:t xml:space="preserve">Transactional email delivery</w:t>
            </w:r>
          </w:p>
        </w:tc>
        <w:tc>
          <w:tcPr>
            <w:tcW w:type="dxa" w:w="3240"/>
          </w:tcPr>
          <w:p>
            <w:pPr>
              <w:spacing w:after="60" w:before="60"/>
            </w:pPr>
            <w:r>
              <w:rPr>
                <w:b w:val="false"/>
                <w:bCs w:val="false"/>
                <w:sz w:val="18"/>
                <w:szCs w:val="18"/>
              </w:rPr>
              <w:t xml:space="preserve">US</w:t>
            </w:r>
          </w:p>
        </w:tc>
      </w:tr>
      <w:tr>
        <w:tc>
          <w:tcPr>
            <w:tcW w:type="dxa" w:w="3240"/>
            <w:shd w:fill="EAF4F4" w:color="EAF4F4" w:val="clear"/>
          </w:tcPr>
          <w:p>
            <w:pPr>
              <w:spacing w:after="60" w:before="60"/>
            </w:pPr>
            <w:r>
              <w:rPr>
                <w:b/>
                <w:bCs/>
                <w:sz w:val="18"/>
                <w:szCs w:val="18"/>
              </w:rPr>
              <w:t xml:space="preserve">Anthropic</w:t>
            </w:r>
          </w:p>
        </w:tc>
        <w:tc>
          <w:tcPr>
            <w:tcW w:type="dxa" w:w="3240"/>
            <w:shd w:fill="EAF4F4" w:color="EAF4F4" w:val="clear"/>
          </w:tcPr>
          <w:p>
            <w:pPr>
              <w:spacing w:after="60" w:before="60"/>
            </w:pPr>
            <w:r>
              <w:rPr>
                <w:b w:val="false"/>
                <w:bCs w:val="false"/>
                <w:sz w:val="18"/>
                <w:szCs w:val="18"/>
              </w:rPr>
              <w:t xml:space="preserve">AI processing for newsletter draft generation (admin feature; prompt text only; not used to train models)</w:t>
            </w:r>
          </w:p>
        </w:tc>
        <w:tc>
          <w:tcPr>
            <w:tcW w:type="dxa" w:w="3240"/>
            <w:shd w:fill="EAF4F4" w:color="EAF4F4" w:val="clear"/>
          </w:tcPr>
          <w:p>
            <w:pPr>
              <w:spacing w:after="60" w:before="60"/>
            </w:pPr>
            <w:r>
              <w:rPr>
                <w:b w:val="false"/>
                <w:bCs w:val="false"/>
                <w:sz w:val="18"/>
                <w:szCs w:val="18"/>
              </w:rPr>
              <w:t xml:space="preserve">US</w:t>
            </w:r>
          </w:p>
        </w:tc>
      </w:tr>
    </w:tbl>
    <w:p>
      <w:pPr>
        <w:pStyle w:val="Heading1"/>
        <w:spacing w:after="120" w:before="320"/>
      </w:pPr>
      <w:r>
        <w:rPr>
          <w:b/>
          <w:bCs/>
          <w:color w:val="014D4E"/>
          <w:sz w:val="26"/>
          <w:szCs w:val="26"/>
        </w:rPr>
        <w:t xml:space="preserve">8. Data retention</w:t>
      </w:r>
    </w:p>
    <w:p>
      <w:pPr>
        <w:spacing w:after="80" w:before="60"/>
      </w:pPr>
      <w:r>
        <w:rPr>
          <w:sz w:val="20"/>
          <w:szCs w:val="20"/>
        </w:rPr>
        <w:t xml:space="preserve">Platform account and compliance data is retained for the duration of the subscription, plus 30 days after cancellation during which subscribers may export their data. After 30 days, all organisation data is permanently deleted. Support correspondence is retained for 3 years. Billing records are retained for 7 years as required by law. Marketing contact records are retained until deletion is requested.</w:t>
      </w:r>
    </w:p>
    <w:p>
      <w:pPr>
        <w:pStyle w:val="Heading1"/>
        <w:spacing w:after="120" w:before="320"/>
      </w:pPr>
      <w:r>
        <w:rPr>
          <w:b/>
          <w:bCs/>
          <w:color w:val="014D4E"/>
          <w:sz w:val="26"/>
          <w:szCs w:val="26"/>
        </w:rPr>
        <w:t xml:space="preserve">9. Data breach procedure</w:t>
      </w:r>
    </w:p>
    <w:p>
      <w:pPr>
        <w:spacing w:after="80" w:before="60"/>
      </w:pPr>
      <w:r>
        <w:rPr>
          <w:sz w:val="20"/>
          <w:szCs w:val="20"/>
        </w:rPr>
        <w:t xml:space="preserve">Parker Digital &amp; Print Services maintains a data breach response procedure aligned with UK GDPR obligations. In the event of a personal data breach:</w:t>
      </w:r>
    </w:p>
    <w:p>
      <w:pPr>
        <w:spacing w:after="40" w:before="40"/>
        <w:ind w:left="360"/>
      </w:pPr>
      <w:r>
        <w:rPr>
          <w:color w:val="014D4E"/>
          <w:sz w:val="20"/>
          <w:szCs w:val="20"/>
        </w:rPr>
        <w:t xml:space="preserve">•  </w:t>
      </w:r>
      <w:r>
        <w:rPr>
          <w:sz w:val="20"/>
          <w:szCs w:val="20"/>
        </w:rPr>
        <w:t xml:space="preserve">The breach is assessed for risk to individuals within 24 hours of discovery</w:t>
      </w:r>
    </w:p>
    <w:p>
      <w:pPr>
        <w:spacing w:after="40" w:before="40"/>
        <w:ind w:left="360"/>
      </w:pPr>
      <w:r>
        <w:rPr>
          <w:color w:val="014D4E"/>
          <w:sz w:val="20"/>
          <w:szCs w:val="20"/>
        </w:rPr>
        <w:t xml:space="preserve">•  </w:t>
      </w:r>
      <w:r>
        <w:rPr>
          <w:sz w:val="20"/>
          <w:szCs w:val="20"/>
        </w:rPr>
        <w:t xml:space="preserve">Where the breach is likely to result in a risk to individuals, it is reported to the Information Commissioner's Office (ICO) within 72 hours of discovery, as required by Article 33 UK GDPR</w:t>
      </w:r>
    </w:p>
    <w:p>
      <w:pPr>
        <w:spacing w:after="40" w:before="40"/>
        <w:ind w:left="360"/>
      </w:pPr>
      <w:r>
        <w:rPr>
          <w:color w:val="014D4E"/>
          <w:sz w:val="20"/>
          <w:szCs w:val="20"/>
        </w:rPr>
        <w:t xml:space="preserve">•  </w:t>
      </w:r>
      <w:r>
        <w:rPr>
          <w:sz w:val="20"/>
          <w:szCs w:val="20"/>
        </w:rPr>
        <w:t xml:space="preserve">Where the breach is likely to result in a high risk to individuals, affected data subjects are notified without undue delay</w:t>
      </w:r>
    </w:p>
    <w:p>
      <w:pPr>
        <w:spacing w:after="40" w:before="40"/>
        <w:ind w:left="360"/>
      </w:pPr>
      <w:r>
        <w:rPr>
          <w:color w:val="014D4E"/>
          <w:sz w:val="20"/>
          <w:szCs w:val="20"/>
        </w:rPr>
        <w:t xml:space="preserve">•  </w:t>
      </w:r>
      <w:r>
        <w:rPr>
          <w:sz w:val="20"/>
          <w:szCs w:val="20"/>
        </w:rPr>
        <w:t xml:space="preserve">All breaches, including those below the reporting threshold, are recorded in an internal breach log</w:t>
      </w:r>
    </w:p>
    <w:p>
      <w:pPr>
        <w:spacing w:after="80" w:before="60"/>
      </w:pPr>
      <w:r>
        <w:rPr>
          <w:sz w:val="20"/>
          <w:szCs w:val="20"/>
        </w:rPr>
        <w:t xml:space="preserve">To report a suspected security incident or data breach, contact: support@alwaysready.uk</w:t>
      </w:r>
    </w:p>
    <w:p>
      <w:pPr>
        <w:pStyle w:val="Heading1"/>
        <w:spacing w:after="120" w:before="320"/>
      </w:pPr>
      <w:r>
        <w:rPr>
          <w:b/>
          <w:bCs/>
          <w:color w:val="014D4E"/>
          <w:sz w:val="26"/>
          <w:szCs w:val="26"/>
        </w:rPr>
        <w:t xml:space="preserve">10. Data subject rights</w:t>
      </w:r>
    </w:p>
    <w:p>
      <w:pPr>
        <w:spacing w:after="80" w:before="60"/>
      </w:pPr>
      <w:r>
        <w:rPr>
          <w:sz w:val="20"/>
          <w:szCs w:val="20"/>
        </w:rPr>
        <w:t xml:space="preserve">Individuals whose personal data is processed by AlwaysReady have rights under UK GDPR including the right to access, rectify, erase, restrict, or port their data, and to object to processing. Requests should be directed to support@alwaysready.uk. We will respond within one calendar month. Complaints may be directed to the Information Commissioner's Office at ico.org.uk or 0303 123 1113.</w:t>
      </w:r>
    </w:p>
    <w:p>
      <w:pPr>
        <w:pBdr>
          <w:bottom w:val="single" w:color="D0E8E8" w:sz="1"/>
        </w:pBdr>
        <w:spacing w:after="200" w:before="200"/>
      </w:pPr>
    </w:p>
    <w:p>
      <w:pPr>
        <w:spacing w:after="0" w:before="80"/>
      </w:pPr>
      <w:r>
        <w:rPr>
          <w:i/>
          <w:iCs/>
          <w:color w:val="888888"/>
          <w:sz w:val="16"/>
          <w:szCs w:val="16"/>
        </w:rPr>
        <w:t xml:space="preserve">This statement is provided in good faith based on current infrastructure and practices. It does not constitute legal advice. Version 1.0 is a working draft pending solicitor review. Parker Digital &amp; Print Services, 82A James Carter Road, Mildenhall, IP28 7DE.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2026-08-03T07:31:40.752Z</dcterms:created>
  <dcterms:modified xsi:type="dcterms:W3CDTF">2026-08-03T07:31:40.752Z</dcterms:modified>
</cp:coreProperties>
</file>

<file path=docProps/custom.xml><?xml version="1.0" encoding="utf-8"?>
<Properties xmlns="http://schemas.openxmlformats.org/officeDocument/2006/custom-properties" xmlns:vt="http://schemas.openxmlformats.org/officeDocument/2006/docPropsVTypes"/>
</file>