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0"/>
        <w:jc w:val="left"/>
      </w:pPr>
      <w:r>
        <w:rPr>
          <w:b/>
          <w:bCs/>
          <w:color w:val="014D4E"/>
          <w:sz w:val="36"/>
          <w:szCs w:val="36"/>
        </w:rPr>
        <w:t xml:space="preserve">AlwaysReady</w:t>
      </w:r>
    </w:p>
    <w:p>
      <w:pPr>
        <w:spacing w:after="40" w:before="0"/>
      </w:pPr>
      <w:r>
        <w:rPr>
          <w:b/>
          <w:bCs/>
          <w:color w:val="014D4E"/>
          <w:sz w:val="32"/>
          <w:szCs w:val="32"/>
        </w:rPr>
        <w:t xml:space="preserve">Legitimate Interests Assessment (LIA)</w:t>
      </w:r>
    </w:p>
    <w:p>
      <w:pPr>
        <w:spacing w:after="240" w:before="0"/>
      </w:pPr>
      <w:r>
        <w:rPr>
          <w:color w:val="444444"/>
          <w:sz w:val="22"/>
          <w:szCs w:val="22"/>
        </w:rPr>
        <w:t xml:space="preserve">Direct marketing to CQC-registered adult social care providers rated Requires Improvement</w:t>
      </w:r>
    </w:p>
    <w:tbl>
      <w:tblPr>
        <w:tblW w:type="dxa" w:w="8100"/>
        <w:tblBorders>
          <w:top w:val="single" w:color="auto" w:sz="4"/>
          <w:left w:val="single" w:color="auto" w:sz="4"/>
          <w:bottom w:val="single" w:color="auto" w:sz="4"/>
          <w:right w:val="single" w:color="auto" w:sz="4"/>
          <w:insideH w:val="single" w:color="auto" w:sz="4"/>
          <w:insideV w:val="single" w:color="auto" w:sz="4"/>
        </w:tblBorders>
      </w:tblPr>
      <w:tblGrid>
        <w:gridCol w:w="2200"/>
        <w:gridCol w:w="5900"/>
      </w:tblGrid>
      <w:tr>
        <w:tc>
          <w:tcPr>
            <w:tcW w:type="dxa" w:w="2200"/>
            <w:shd w:fill="F5F5F5" w:val="clear"/>
            <w:vAlign w:val="top"/>
          </w:tcPr>
          <w:p>
            <w:pPr>
              <w:spacing w:after="60" w:before="60"/>
            </w:pPr>
            <w:r>
              <w:rPr>
                <w:b/>
                <w:bCs/>
                <w:sz w:val="20"/>
                <w:szCs w:val="20"/>
              </w:rPr>
              <w:t xml:space="preserve">Prepared by</w:t>
            </w:r>
          </w:p>
        </w:tc>
        <w:tc>
          <w:tcPr>
            <w:tcW w:type="dxa" w:w="5900"/>
            <w:shd w:fill="FFFFFF" w:val="clear"/>
            <w:vAlign w:val="top"/>
          </w:tcPr>
          <w:p>
            <w:pPr>
              <w:spacing w:after="60" w:before="60"/>
            </w:pPr>
            <w:r>
              <w:rPr>
                <w:sz w:val="20"/>
                <w:szCs w:val="20"/>
              </w:rPr>
              <w:t xml:space="preserve">Parker Digital &amp; Print Services (trading as AlwaysReady)</w:t>
            </w:r>
          </w:p>
        </w:tc>
      </w:tr>
      <w:tr>
        <w:tc>
          <w:tcPr>
            <w:tcW w:type="dxa" w:w="2200"/>
            <w:shd w:fill="F5F5F5" w:val="clear"/>
            <w:vAlign w:val="top"/>
          </w:tcPr>
          <w:p>
            <w:pPr>
              <w:spacing w:after="60" w:before="60"/>
            </w:pPr>
            <w:r>
              <w:rPr>
                <w:b/>
                <w:bCs/>
                <w:sz w:val="20"/>
                <w:szCs w:val="20"/>
              </w:rPr>
              <w:t xml:space="preserve">Date</w:t>
            </w:r>
          </w:p>
        </w:tc>
        <w:tc>
          <w:tcPr>
            <w:tcW w:type="dxa" w:w="5900"/>
            <w:shd w:fill="FFFFFF" w:val="clear"/>
            <w:vAlign w:val="top"/>
          </w:tcPr>
          <w:p>
            <w:pPr>
              <w:spacing w:after="60" w:before="60"/>
            </w:pPr>
            <w:r>
              <w:rPr>
                <w:sz w:val="20"/>
                <w:szCs w:val="20"/>
              </w:rPr>
              <w:t xml:space="preserve">August 2026</w:t>
            </w:r>
          </w:p>
        </w:tc>
      </w:tr>
      <w:tr>
        <w:tc>
          <w:tcPr>
            <w:tcW w:type="dxa" w:w="2200"/>
            <w:shd w:fill="F5F5F5" w:val="clear"/>
            <w:vAlign w:val="top"/>
          </w:tcPr>
          <w:p>
            <w:pPr>
              <w:spacing w:after="60" w:before="60"/>
            </w:pPr>
            <w:r>
              <w:rPr>
                <w:b/>
                <w:bCs/>
                <w:sz w:val="20"/>
                <w:szCs w:val="20"/>
              </w:rPr>
              <w:t xml:space="preserve">Review date</w:t>
            </w:r>
          </w:p>
        </w:tc>
        <w:tc>
          <w:tcPr>
            <w:tcW w:type="dxa" w:w="5900"/>
            <w:shd w:fill="FFFFFF" w:val="clear"/>
            <w:vAlign w:val="top"/>
          </w:tcPr>
          <w:p>
            <w:pPr>
              <w:spacing w:after="60" w:before="60"/>
            </w:pPr>
            <w:r>
              <w:rPr>
                <w:sz w:val="20"/>
                <w:szCs w:val="20"/>
              </w:rPr>
              <w:t xml:space="preserve">August 2027 or before each new campaign</w:t>
            </w:r>
          </w:p>
        </w:tc>
      </w:tr>
      <w:tr>
        <w:tc>
          <w:tcPr>
            <w:tcW w:type="dxa" w:w="2200"/>
            <w:shd w:fill="F5F5F5" w:val="clear"/>
            <w:vAlign w:val="top"/>
          </w:tcPr>
          <w:p>
            <w:pPr>
              <w:spacing w:after="60" w:before="60"/>
            </w:pPr>
            <w:r>
              <w:rPr>
                <w:b/>
                <w:bCs/>
                <w:sz w:val="20"/>
                <w:szCs w:val="20"/>
              </w:rPr>
              <w:t xml:space="preserve">UK GDPR basis</w:t>
            </w:r>
          </w:p>
        </w:tc>
        <w:tc>
          <w:tcPr>
            <w:tcW w:type="dxa" w:w="5900"/>
            <w:shd w:fill="FFFFFF" w:val="clear"/>
            <w:vAlign w:val="top"/>
          </w:tcPr>
          <w:p>
            <w:pPr>
              <w:spacing w:after="60" w:before="60"/>
            </w:pPr>
            <w:r>
              <w:rPr>
                <w:sz w:val="20"/>
                <w:szCs w:val="20"/>
              </w:rPr>
              <w:t xml:space="preserve">Article 6(1)(f) — Legitimate Interests</w:t>
            </w:r>
          </w:p>
        </w:tc>
      </w:tr>
      <w:tr>
        <w:tc>
          <w:tcPr>
            <w:tcW w:type="dxa" w:w="2200"/>
            <w:shd w:fill="F5F5F5" w:val="clear"/>
            <w:vAlign w:val="top"/>
          </w:tcPr>
          <w:p>
            <w:pPr>
              <w:spacing w:after="60" w:before="60"/>
            </w:pPr>
            <w:r>
              <w:rPr>
                <w:b/>
                <w:bCs/>
                <w:sz w:val="20"/>
                <w:szCs w:val="20"/>
              </w:rPr>
              <w:t xml:space="preserve">Version</w:t>
            </w:r>
          </w:p>
        </w:tc>
        <w:tc>
          <w:tcPr>
            <w:tcW w:type="dxa" w:w="5900"/>
            <w:shd w:fill="FFFFFF" w:val="clear"/>
            <w:vAlign w:val="top"/>
          </w:tcPr>
          <w:p>
            <w:pPr>
              <w:spacing w:after="60" w:before="60"/>
            </w:pPr>
            <w:r>
              <w:rPr>
                <w:sz w:val="20"/>
                <w:szCs w:val="20"/>
              </w:rPr>
              <w:t xml:space="preserve">1.0</w:t>
            </w:r>
          </w:p>
        </w:tc>
      </w:tr>
    </w:tbl>
    <w:p>
      <w:pPr>
        <w:pBdr>
          <w:bottom w:val="single" w:color="D4AA3C" w:sz="4"/>
        </w:pBdr>
        <w:spacing w:after="200" w:before="200"/>
      </w:pPr>
    </w:p>
    <w:p>
      <w:pPr>
        <w:shd w:fill="FFF8E1" w:val="clear"/>
        <w:spacing w:after="160" w:before="0"/>
      </w:pPr>
      <w:r>
        <w:rPr>
          <w:b/>
          <w:bCs/>
          <w:color w:val="7A5500"/>
          <w:sz w:val="20"/>
          <w:szCs w:val="20"/>
        </w:rPr>
        <w:t xml:space="preserve">Note: </w:t>
      </w:r>
      <w:r>
        <w:rPr>
          <w:color w:val="7A5500"/>
          <w:sz w:val="20"/>
          <w:szCs w:val="20"/>
        </w:rPr>
        <w:t xml:space="preserve">This document has been prepared as a working record of our Legitimate Interests Assessment. It does not constitute legal advice. We recommend this document is reviewed by a qualified solicitor before the first campaign is sent.</w:t>
      </w:r>
    </w:p>
    <w:p>
      <w:pPr>
        <w:pBdr>
          <w:bottom w:val="single" w:color="D4AA3C" w:sz="4"/>
        </w:pBdr>
        <w:spacing w:after="200" w:before="200"/>
      </w:pPr>
    </w:p>
    <w:p>
      <w:pPr>
        <w:pStyle w:val="Heading1"/>
        <w:spacing w:after="120" w:before="400"/>
      </w:pPr>
      <w:r>
        <w:rPr>
          <w:b/>
          <w:bCs/>
          <w:color w:val="014D4E"/>
          <w:sz w:val="28"/>
          <w:szCs w:val="28"/>
        </w:rPr>
        <w:t xml:space="preserve">Part 1 — Purpose Test</w:t>
      </w:r>
    </w:p>
    <w:p>
      <w:pPr>
        <w:pStyle w:val="Heading2"/>
        <w:spacing w:after="100" w:before="300"/>
      </w:pPr>
      <w:r>
        <w:rPr>
          <w:b/>
          <w:bCs/>
          <w:color w:val="014D4E"/>
          <w:sz w:val="24"/>
          <w:szCs w:val="24"/>
        </w:rPr>
        <w:t xml:space="preserve">What is the legitimate interest?</w:t>
      </w:r>
    </w:p>
    <w:p>
      <w:pPr>
        <w:spacing w:after="80" w:before="80"/>
      </w:pPr>
      <w:r>
        <w:rPr>
          <w:sz w:val="22"/>
          <w:szCs w:val="22"/>
        </w:rPr>
        <w:t xml:space="preserve">AlwaysReady is a CQC inspection-readiness platform built specifically for registered adult social care providers in England. Our legitimate interest is in marketing our services to providers who have a demonstrable, documented need for inspection-readiness support.</w:t>
      </w:r>
    </w:p>
    <w:p>
      <w:pPr>
        <w:spacing w:after="80" w:before="80"/>
      </w:pPr>
      <w:r>
        <w:rPr>
          <w:sz w:val="22"/>
          <w:szCs w:val="22"/>
        </w:rPr>
        <w:t xml:space="preserve">Providers rated Requires Improvement by CQC have received a formal finding that their service does not yet meet the standards expected by the regulator. They are typically required to produce an improvement plan and demonstrate progress at their next inspection. AlwaysReady is designed precisely to help providers manage this process — organising compliance evidence, tracking KLOEs, managing post-inspection reviews, and supporting improvement planning.</w:t>
      </w:r>
    </w:p>
    <w:p>
      <w:pPr>
        <w:spacing w:after="80" w:before="80"/>
      </w:pPr>
      <w:r>
        <w:rPr>
          <w:sz w:val="22"/>
          <w:szCs w:val="22"/>
        </w:rPr>
        <w:t xml:space="preserve">Our legitimate interest is therefore: to make providers aware of a tool that directly addresses a compliance challenge they are already facing and are required to resolve.</w:t>
      </w:r>
    </w:p>
    <w:p>
      <w:pPr>
        <w:pStyle w:val="Heading2"/>
        <w:spacing w:after="100" w:before="300"/>
      </w:pPr>
      <w:r>
        <w:rPr>
          <w:b/>
          <w:bCs/>
          <w:color w:val="014D4E"/>
          <w:sz w:val="24"/>
          <w:szCs w:val="24"/>
        </w:rPr>
        <w:t xml:space="preserve">Is this a third-party legitimate interest or our own?</w:t>
      </w:r>
    </w:p>
    <w:p>
      <w:pPr>
        <w:spacing w:after="80" w:before="80"/>
      </w:pPr>
      <w:r>
        <w:rPr>
          <w:sz w:val="22"/>
          <w:szCs w:val="22"/>
        </w:rPr>
        <w:t xml:space="preserve">This is AlwaysReady's own commercial legitimate interest. There is also an argument that providers and the people they care for have an interest in providers being aware of tools that can support improvement — but we do not rely on this as our primary basis.</w:t>
      </w:r>
    </w:p>
    <w:p>
      <w:pPr>
        <w:pBdr>
          <w:bottom w:val="single" w:color="D4AA3C" w:sz="4"/>
        </w:pBdr>
        <w:spacing w:after="200" w:before="200"/>
      </w:pPr>
    </w:p>
    <w:p>
      <w:pPr>
        <w:pStyle w:val="Heading1"/>
        <w:spacing w:after="120" w:before="400"/>
      </w:pPr>
      <w:r>
        <w:rPr>
          <w:b/>
          <w:bCs/>
          <w:color w:val="014D4E"/>
          <w:sz w:val="28"/>
          <w:szCs w:val="28"/>
        </w:rPr>
        <w:t xml:space="preserve">Part 2 — Necessity Test</w:t>
      </w:r>
    </w:p>
    <w:p>
      <w:pPr>
        <w:pStyle w:val="Heading2"/>
        <w:spacing w:after="100" w:before="300"/>
      </w:pPr>
      <w:r>
        <w:rPr>
          <w:b/>
          <w:bCs/>
          <w:color w:val="014D4E"/>
          <w:sz w:val="24"/>
          <w:szCs w:val="24"/>
        </w:rPr>
        <w:t xml:space="preserve">Is processing necessary for the purpose?</w:t>
      </w:r>
    </w:p>
    <w:p>
      <w:pPr>
        <w:spacing w:after="80" w:before="80"/>
      </w:pPr>
      <w:r>
        <w:rPr>
          <w:sz w:val="22"/>
          <w:szCs w:val="22"/>
        </w:rPr>
        <w:t xml:space="preserve">To make providers aware of AlwaysReady, we need to contact them. We cannot achieve this without processing contact data. The data used is:</w:t>
      </w:r>
    </w:p>
    <w:p>
      <w:pPr>
        <w:pStyle w:val="ListParagraph"/>
        <w:numPr>
          <w:ilvl w:val="0"/>
          <w:numId w:val="1"/>
        </w:numPr>
        <w:spacing w:after="40" w:before="40"/>
      </w:pPr>
      <w:r>
        <w:rPr>
          <w:sz w:val="22"/>
          <w:szCs w:val="22"/>
        </w:rPr>
        <w:t xml:space="preserve">Provider name and trading name — from the CQC public register</w:t>
      </w:r>
    </w:p>
    <w:p>
      <w:pPr>
        <w:pStyle w:val="ListParagraph"/>
        <w:numPr>
          <w:ilvl w:val="0"/>
          <w:numId w:val="1"/>
        </w:numPr>
        <w:spacing w:after="40" w:before="40"/>
      </w:pPr>
      <w:r>
        <w:rPr>
          <w:sz w:val="22"/>
          <w:szCs w:val="22"/>
        </w:rPr>
        <w:t xml:space="preserve">Registered address — from the CQC public register</w:t>
      </w:r>
    </w:p>
    <w:p>
      <w:pPr>
        <w:pStyle w:val="ListParagraph"/>
        <w:numPr>
          <w:ilvl w:val="0"/>
          <w:numId w:val="1"/>
        </w:numPr>
        <w:spacing w:after="40" w:before="40"/>
      </w:pPr>
      <w:r>
        <w:rPr>
          <w:sz w:val="22"/>
          <w:szCs w:val="22"/>
        </w:rPr>
        <w:t xml:space="preserve">CQC rating — from the CQC public register (published and freely accessible)</w:t>
      </w:r>
    </w:p>
    <w:p>
      <w:pPr>
        <w:pStyle w:val="ListParagraph"/>
        <w:numPr>
          <w:ilvl w:val="0"/>
          <w:numId w:val="1"/>
        </w:numPr>
        <w:spacing w:after="40" w:before="40"/>
      </w:pPr>
      <w:r>
        <w:rPr>
          <w:sz w:val="22"/>
          <w:szCs w:val="22"/>
        </w:rPr>
        <w:t xml:space="preserve">Generic business contact information where publicly available (e.g. website contact address)</w:t>
      </w:r>
    </w:p>
    <w:p>
      <w:pPr>
        <w:spacing w:after="80" w:before="80"/>
      </w:pPr>
      <w:r>
        <w:rPr>
          <w:sz w:val="22"/>
          <w:szCs w:val="22"/>
        </w:rPr>
        <w:t xml:space="preserve">We do not purchase or use third-party marketing lists. We source data only from the CQC's publicly published register, which providers are required by law to be listed on.</w:t>
      </w:r>
    </w:p>
    <w:p>
      <w:pPr>
        <w:spacing w:after="80" w:before="80"/>
      </w:pPr>
      <w:r>
        <w:rPr>
          <w:sz w:val="22"/>
          <w:szCs w:val="22"/>
        </w:rPr>
        <w:t xml:space="preserve">We will not use personal email addresses of named individuals (e.g. registered managers' personal emails) without a separate consent basis. Outreach will be directed to generic business addresses or sent by post to the registered address.</w:t>
      </w:r>
    </w:p>
    <w:p>
      <w:pPr>
        <w:pStyle w:val="Heading2"/>
        <w:spacing w:after="100" w:before="300"/>
      </w:pPr>
      <w:r>
        <w:rPr>
          <w:b/>
          <w:bCs/>
          <w:color w:val="014D4E"/>
          <w:sz w:val="24"/>
          <w:szCs w:val="24"/>
        </w:rPr>
        <w:t xml:space="preserve">Could we achieve the same purpose with less data or less intrusive means?</w:t>
      </w:r>
    </w:p>
    <w:p>
      <w:pPr>
        <w:spacing w:after="80" w:before="80"/>
      </w:pPr>
      <w:r>
        <w:rPr>
          <w:sz w:val="22"/>
          <w:szCs w:val="22"/>
        </w:rPr>
        <w:t xml:space="preserve">Broad digital advertising (e.g. Google or Meta ads) could reach some of this audience, but cannot be targeted specifically to Requires Improvement providers. Direct outreach using the CQC register is the only proportionate way to reach this specific audience. The data used is the minimum necessary.</w:t>
      </w:r>
    </w:p>
    <w:p>
      <w:pPr>
        <w:pBdr>
          <w:bottom w:val="single" w:color="D4AA3C" w:sz="4"/>
        </w:pBdr>
        <w:spacing w:after="200" w:before="200"/>
      </w:pPr>
    </w:p>
    <w:p>
      <w:pPr>
        <w:pStyle w:val="Heading1"/>
        <w:spacing w:after="120" w:before="400"/>
      </w:pPr>
      <w:r>
        <w:rPr>
          <w:b/>
          <w:bCs/>
          <w:color w:val="014D4E"/>
          <w:sz w:val="28"/>
          <w:szCs w:val="28"/>
        </w:rPr>
        <w:t xml:space="preserve">Part 3 — Balancing Test</w:t>
      </w:r>
    </w:p>
    <w:p>
      <w:pPr>
        <w:pStyle w:val="Heading2"/>
        <w:spacing w:after="100" w:before="300"/>
      </w:pPr>
      <w:r>
        <w:rPr>
          <w:b/>
          <w:bCs/>
          <w:color w:val="014D4E"/>
          <w:sz w:val="24"/>
          <w:szCs w:val="24"/>
        </w:rPr>
        <w:t xml:space="preserve">What are the interests, rights, and freedoms of the data subjects?</w:t>
      </w:r>
    </w:p>
    <w:p>
      <w:pPr>
        <w:spacing w:after="80" w:before="80"/>
      </w:pPr>
      <w:r>
        <w:rPr>
          <w:sz w:val="22"/>
          <w:szCs w:val="22"/>
        </w:rPr>
        <w:t xml:space="preserve">The data subjects are registered adult social care providers — primarily legal entities (limited companies, charities, partnerships) and in some cases sole traders or individuals trading in a business capacity. Their interests include:</w:t>
      </w:r>
    </w:p>
    <w:p>
      <w:pPr>
        <w:pStyle w:val="ListParagraph"/>
        <w:numPr>
          <w:ilvl w:val="0"/>
          <w:numId w:val="1"/>
        </w:numPr>
        <w:spacing w:after="40" w:before="40"/>
      </w:pPr>
      <w:r>
        <w:rPr>
          <w:sz w:val="22"/>
          <w:szCs w:val="22"/>
        </w:rPr>
        <w:t xml:space="preserve">Not receiving unwanted marketing communications</w:t>
      </w:r>
    </w:p>
    <w:p>
      <w:pPr>
        <w:pStyle w:val="ListParagraph"/>
        <w:numPr>
          <w:ilvl w:val="0"/>
          <w:numId w:val="1"/>
        </w:numPr>
        <w:spacing w:after="40" w:before="40"/>
      </w:pPr>
      <w:r>
        <w:rPr>
          <w:sz w:val="22"/>
          <w:szCs w:val="22"/>
        </w:rPr>
        <w:t xml:space="preserve">Having their contact data used in ways they would reasonably expect</w:t>
      </w:r>
    </w:p>
    <w:p>
      <w:pPr>
        <w:pStyle w:val="ListParagraph"/>
        <w:numPr>
          <w:ilvl w:val="0"/>
          <w:numId w:val="1"/>
        </w:numPr>
        <w:spacing w:after="40" w:before="40"/>
      </w:pPr>
      <w:r>
        <w:rPr>
          <w:sz w:val="22"/>
          <w:szCs w:val="22"/>
        </w:rPr>
        <w:t xml:space="preserve">Being able to opt out of future communications easily</w:t>
      </w:r>
    </w:p>
    <w:p>
      <w:pPr>
        <w:pStyle w:val="Heading2"/>
        <w:spacing w:after="100" w:before="300"/>
      </w:pPr>
      <w:r>
        <w:rPr>
          <w:b/>
          <w:bCs/>
          <w:color w:val="014D4E"/>
          <w:sz w:val="24"/>
          <w:szCs w:val="24"/>
        </w:rPr>
        <w:t xml:space="preserve">Would the data subjects reasonably expect this use?</w:t>
      </w:r>
    </w:p>
    <w:p>
      <w:pPr>
        <w:spacing w:after="80" w:before="80"/>
      </w:pPr>
      <w:r>
        <w:rPr>
          <w:sz w:val="22"/>
          <w:szCs w:val="22"/>
        </w:rPr>
        <w:t xml:space="preserve">Providers listed on the CQC public register are regulated businesses operating in a sector subject to ongoing regulatory scrutiny. It is reasonable for them to expect that their publicly listed information may be used by companies in the care sector to make them aware of relevant services. This is analogous to a solicitor receiving correspondence about CPD software, or a GP surgery receiving information about clinical management tools.</w:t>
      </w:r>
    </w:p>
    <w:p>
      <w:pPr>
        <w:spacing w:after="80" w:before="80"/>
      </w:pPr>
      <w:r>
        <w:rPr>
          <w:sz w:val="22"/>
          <w:szCs w:val="22"/>
        </w:rPr>
        <w:t xml:space="preserve">CQC ratings are published publicly and are a matter of public record. Using a publicly available rating to determine whether to make contact is not materially different from a sales representative researching a prospect online before calling.</w:t>
      </w:r>
    </w:p>
    <w:p>
      <w:pPr>
        <w:pStyle w:val="Heading2"/>
        <w:spacing w:after="100" w:before="300"/>
      </w:pPr>
      <w:r>
        <w:rPr>
          <w:b/>
          <w:bCs/>
          <w:color w:val="014D4E"/>
          <w:sz w:val="24"/>
          <w:szCs w:val="24"/>
        </w:rPr>
        <w:t xml:space="preserve">What is the potential impact on data subjects?</w:t>
      </w:r>
    </w:p>
    <w:p>
      <w:pPr>
        <w:spacing w:after="80" w:before="80"/>
      </w:pPr>
      <w:r>
        <w:rPr>
          <w:sz w:val="22"/>
          <w:szCs w:val="22"/>
        </w:rPr>
        <w:t xml:space="preserve">The impact of receiving a single piece of direct marketing — whether by post or email — is low. Providers are not vulnerable individuals; they are regulated businesses with designated contacts for regulatory and business correspondence. The communication will:</w:t>
      </w:r>
    </w:p>
    <w:p>
      <w:pPr>
        <w:pStyle w:val="ListParagraph"/>
        <w:numPr>
          <w:ilvl w:val="0"/>
          <w:numId w:val="1"/>
        </w:numPr>
        <w:spacing w:after="40" w:before="40"/>
      </w:pPr>
      <w:r>
        <w:rPr>
          <w:sz w:val="22"/>
          <w:szCs w:val="22"/>
        </w:rPr>
        <w:t xml:space="preserve">Be clearly identified as marketing from AlwaysReady</w:t>
      </w:r>
    </w:p>
    <w:p>
      <w:pPr>
        <w:pStyle w:val="ListParagraph"/>
        <w:numPr>
          <w:ilvl w:val="0"/>
          <w:numId w:val="1"/>
        </w:numPr>
        <w:spacing w:after="40" w:before="40"/>
      </w:pPr>
      <w:r>
        <w:rPr>
          <w:sz w:val="22"/>
          <w:szCs w:val="22"/>
        </w:rPr>
        <w:t xml:space="preserve">Include a clear, simple opt-out mechanism</w:t>
      </w:r>
    </w:p>
    <w:p>
      <w:pPr>
        <w:pStyle w:val="ListParagraph"/>
        <w:numPr>
          <w:ilvl w:val="0"/>
          <w:numId w:val="1"/>
        </w:numPr>
        <w:spacing w:after="40" w:before="40"/>
      </w:pPr>
      <w:r>
        <w:rPr>
          <w:sz w:val="22"/>
          <w:szCs w:val="22"/>
        </w:rPr>
        <w:t xml:space="preserve">Not reference the provider's CQC rating explicitly in a way that could cause distress</w:t>
      </w:r>
    </w:p>
    <w:p>
      <w:pPr>
        <w:pStyle w:val="ListParagraph"/>
        <w:numPr>
          <w:ilvl w:val="0"/>
          <w:numId w:val="1"/>
        </w:numPr>
        <w:spacing w:after="40" w:before="40"/>
      </w:pPr>
      <w:r>
        <w:rPr>
          <w:sz w:val="22"/>
          <w:szCs w:val="22"/>
        </w:rPr>
        <w:t xml:space="preserve">Be limited in frequency — no more than one initial contact per campaign cycle</w:t>
      </w:r>
    </w:p>
    <w:p>
      <w:pPr>
        <w:pStyle w:val="Heading2"/>
        <w:spacing w:after="100" w:before="300"/>
      </w:pPr>
      <w:r>
        <w:rPr>
          <w:b/>
          <w:bCs/>
          <w:color w:val="014D4E"/>
          <w:sz w:val="24"/>
          <w:szCs w:val="24"/>
        </w:rPr>
        <w:t xml:space="preserve">Does the legitimate interest override the data subjects' interests?</w:t>
      </w:r>
    </w:p>
    <w:p>
      <w:pPr>
        <w:spacing w:after="80" w:before="80"/>
      </w:pPr>
      <w:r>
        <w:rPr>
          <w:sz w:val="22"/>
          <w:szCs w:val="22"/>
        </w:rPr>
        <w:t xml:space="preserve">We conclude that our legitimate interest does override the data subjects' interests in this case, for the following reasons:</w:t>
      </w:r>
    </w:p>
    <w:p>
      <w:pPr>
        <w:pStyle w:val="ListParagraph"/>
        <w:numPr>
          <w:ilvl w:val="0"/>
          <w:numId w:val="1"/>
        </w:numPr>
        <w:spacing w:after="40" w:before="40"/>
      </w:pPr>
      <w:r>
        <w:rPr>
          <w:sz w:val="22"/>
          <w:szCs w:val="22"/>
        </w:rPr>
        <w:t xml:space="preserve">The data used is publicly available and the providers are aware it is published</w:t>
      </w:r>
    </w:p>
    <w:p>
      <w:pPr>
        <w:pStyle w:val="ListParagraph"/>
        <w:numPr>
          <w:ilvl w:val="0"/>
          <w:numId w:val="1"/>
        </w:numPr>
        <w:spacing w:after="40" w:before="40"/>
      </w:pPr>
      <w:r>
        <w:rPr>
          <w:sz w:val="22"/>
          <w:szCs w:val="22"/>
        </w:rPr>
        <w:t xml:space="preserve">The processing is limited to making a single initial contact</w:t>
      </w:r>
    </w:p>
    <w:p>
      <w:pPr>
        <w:pStyle w:val="ListParagraph"/>
        <w:numPr>
          <w:ilvl w:val="0"/>
          <w:numId w:val="1"/>
        </w:numPr>
        <w:spacing w:after="40" w:before="40"/>
      </w:pPr>
      <w:r>
        <w:rPr>
          <w:sz w:val="22"/>
          <w:szCs w:val="22"/>
        </w:rPr>
        <w:t xml:space="preserve">The impact of receiving one piece of business-to-business marketing is minimal</w:t>
      </w:r>
    </w:p>
    <w:p>
      <w:pPr>
        <w:pStyle w:val="ListParagraph"/>
        <w:numPr>
          <w:ilvl w:val="0"/>
          <w:numId w:val="1"/>
        </w:numPr>
        <w:spacing w:after="40" w:before="40"/>
      </w:pPr>
      <w:r>
        <w:rPr>
          <w:sz w:val="22"/>
          <w:szCs w:val="22"/>
        </w:rPr>
        <w:t xml:space="preserve">An easy opt-out is provided in every communication</w:t>
      </w:r>
    </w:p>
    <w:p>
      <w:pPr>
        <w:pStyle w:val="ListParagraph"/>
        <w:numPr>
          <w:ilvl w:val="0"/>
          <w:numId w:val="1"/>
        </w:numPr>
        <w:spacing w:after="40" w:before="40"/>
      </w:pPr>
      <w:r>
        <w:rPr>
          <w:sz w:val="22"/>
          <w:szCs w:val="22"/>
        </w:rPr>
        <w:t xml:space="preserve">The communication is directly relevant to a regulatory challenge the provider is already required to address</w:t>
      </w:r>
    </w:p>
    <w:p>
      <w:pPr>
        <w:pStyle w:val="ListParagraph"/>
        <w:numPr>
          <w:ilvl w:val="0"/>
          <w:numId w:val="1"/>
        </w:numPr>
        <w:spacing w:after="40" w:before="40"/>
      </w:pPr>
      <w:r>
        <w:rPr>
          <w:sz w:val="22"/>
          <w:szCs w:val="22"/>
        </w:rPr>
        <w:t xml:space="preserve">We do not use special category data, and the data processed is the minimum necessary</w:t>
      </w:r>
    </w:p>
    <w:p>
      <w:pPr>
        <w:pBdr>
          <w:bottom w:val="single" w:color="D4AA3C" w:sz="4"/>
        </w:pBdr>
        <w:spacing w:after="200" w:before="200"/>
      </w:pPr>
    </w:p>
    <w:p>
      <w:pPr>
        <w:pStyle w:val="Heading1"/>
        <w:spacing w:after="120" w:before="400"/>
      </w:pPr>
      <w:r>
        <w:rPr>
          <w:b/>
          <w:bCs/>
          <w:color w:val="014D4E"/>
          <w:sz w:val="28"/>
          <w:szCs w:val="28"/>
        </w:rPr>
        <w:t xml:space="preserve">Part 4 — Safeguards</w:t>
      </w:r>
    </w:p>
    <w:p>
      <w:pPr>
        <w:pStyle w:val="Heading2"/>
        <w:spacing w:after="100" w:before="300"/>
      </w:pPr>
      <w:r>
        <w:rPr>
          <w:b/>
          <w:bCs/>
          <w:color w:val="014D4E"/>
          <w:sz w:val="24"/>
          <w:szCs w:val="24"/>
        </w:rPr>
        <w:t xml:space="preserve">What safeguards are in place?</w:t>
      </w:r>
    </w:p>
    <w:p>
      <w:pPr>
        <w:pStyle w:val="ListParagraph"/>
        <w:numPr>
          <w:ilvl w:val="0"/>
          <w:numId w:val="1"/>
        </w:numPr>
        <w:spacing w:after="40" w:before="40"/>
      </w:pPr>
      <w:r>
        <w:rPr>
          <w:sz w:val="22"/>
          <w:szCs w:val="22"/>
        </w:rPr>
        <w:t xml:space="preserve">All contacts who opt out are added to a suppression list immediately and never contacted again</w:t>
      </w:r>
    </w:p>
    <w:p>
      <w:pPr>
        <w:pStyle w:val="ListParagraph"/>
        <w:numPr>
          <w:ilvl w:val="0"/>
          <w:numId w:val="1"/>
        </w:numPr>
        <w:spacing w:after="40" w:before="40"/>
      </w:pPr>
      <w:r>
        <w:rPr>
          <w:sz w:val="22"/>
          <w:szCs w:val="22"/>
        </w:rPr>
        <w:t xml:space="preserve">We will check all phone numbers against the Telephone Preference Service (TPS) before any telephone outreach</w:t>
      </w:r>
    </w:p>
    <w:p>
      <w:pPr>
        <w:pStyle w:val="ListParagraph"/>
        <w:numPr>
          <w:ilvl w:val="0"/>
          <w:numId w:val="1"/>
        </w:numPr>
        <w:spacing w:after="40" w:before="40"/>
      </w:pPr>
      <w:r>
        <w:rPr>
          <w:sz w:val="22"/>
          <w:szCs w:val="22"/>
        </w:rPr>
        <w:t xml:space="preserve">We will not contact named individuals at their personal email addresses without a separate consent basis</w:t>
      </w:r>
    </w:p>
    <w:p>
      <w:pPr>
        <w:pStyle w:val="ListParagraph"/>
        <w:numPr>
          <w:ilvl w:val="0"/>
          <w:numId w:val="1"/>
        </w:numPr>
        <w:spacing w:after="40" w:before="40"/>
      </w:pPr>
      <w:r>
        <w:rPr>
          <w:sz w:val="22"/>
          <w:szCs w:val="22"/>
        </w:rPr>
        <w:t xml:space="preserve">Our Privacy Notice has been updated to disclose that we may use the CQC public register to identify and contact providers</w:t>
      </w:r>
    </w:p>
    <w:p>
      <w:pPr>
        <w:pStyle w:val="ListParagraph"/>
        <w:numPr>
          <w:ilvl w:val="0"/>
          <w:numId w:val="1"/>
        </w:numPr>
        <w:spacing w:after="40" w:before="40"/>
      </w:pPr>
      <w:r>
        <w:rPr>
          <w:sz w:val="22"/>
          <w:szCs w:val="22"/>
        </w:rPr>
        <w:t xml:space="preserve">We will include a link to our Privacy Notice in every communication</w:t>
      </w:r>
    </w:p>
    <w:p>
      <w:pPr>
        <w:pStyle w:val="ListParagraph"/>
        <w:numPr>
          <w:ilvl w:val="0"/>
          <w:numId w:val="1"/>
        </w:numPr>
        <w:spacing w:after="40" w:before="40"/>
      </w:pPr>
      <w:r>
        <w:rPr>
          <w:sz w:val="22"/>
          <w:szCs w:val="22"/>
        </w:rPr>
        <w:t xml:space="preserve">Campaign data will be held securely and deleted when no longer needed</w:t>
      </w:r>
    </w:p>
    <w:p>
      <w:pPr>
        <w:pStyle w:val="ListParagraph"/>
        <w:numPr>
          <w:ilvl w:val="0"/>
          <w:numId w:val="1"/>
        </w:numPr>
        <w:spacing w:after="40" w:before="40"/>
      </w:pPr>
      <w:r>
        <w:rPr>
          <w:sz w:val="22"/>
          <w:szCs w:val="22"/>
        </w:rPr>
        <w:t xml:space="preserve">This LIA will be reviewed before each new campaign and updated if the scope or method changes</w:t>
      </w:r>
    </w:p>
    <w:p>
      <w:pPr>
        <w:pBdr>
          <w:bottom w:val="single" w:color="D4AA3C" w:sz="4"/>
        </w:pBdr>
        <w:spacing w:after="200" w:before="200"/>
      </w:pPr>
    </w:p>
    <w:p>
      <w:pPr>
        <w:pStyle w:val="Heading1"/>
        <w:spacing w:after="120" w:before="400"/>
      </w:pPr>
      <w:r>
        <w:rPr>
          <w:b/>
          <w:bCs/>
          <w:color w:val="014D4E"/>
          <w:sz w:val="28"/>
          <w:szCs w:val="28"/>
        </w:rPr>
        <w:t xml:space="preserve">Conclusion</w:t>
      </w:r>
    </w:p>
    <w:p>
      <w:pPr>
        <w:spacing w:after="80" w:before="80"/>
      </w:pPr>
      <w:r>
        <w:rPr>
          <w:sz w:val="22"/>
          <w:szCs w:val="22"/>
        </w:rPr>
        <w:t xml:space="preserve">Having completed this three-part assessment, we are satisfied that our legitimate interests in directly marketing AlwaysReady to CQC-registered providers rated Requires Improvement are not overridden by the interests, rights, or freedoms of those providers. Processing may proceed on the basis of Article 6(1)(f) UK GDPR, subject to the safeguards described above.</w:t>
      </w:r>
    </w:p>
    <w:p>
      <w:pPr>
        <w:pBdr>
          <w:bottom w:val="single" w:color="D4AA3C" w:sz="4"/>
        </w:pBdr>
        <w:spacing w:after="200" w:before="200"/>
      </w:pPr>
    </w:p>
    <w:p>
      <w:pPr>
        <w:spacing w:after="80" w:before="200"/>
      </w:pPr>
      <w:r>
        <w:rPr>
          <w:b/>
          <w:bCs/>
          <w:sz w:val="22"/>
          <w:szCs w:val="22"/>
        </w:rPr>
        <w:t xml:space="preserve">Signed</w:t>
      </w:r>
    </w:p>
    <w:p>
      <w:pPr>
        <w:spacing w:after="40" w:before="80"/>
      </w:pPr>
      <w:r>
        <w:rPr>
          <w:sz w:val="22"/>
          <w:szCs w:val="22"/>
        </w:rPr>
        <w:t xml:space="preserve">Name: ___________________________________</w:t>
      </w:r>
    </w:p>
    <w:p>
      <w:pPr>
        <w:spacing w:after="40" w:before="40"/>
      </w:pPr>
      <w:r>
        <w:rPr>
          <w:sz w:val="22"/>
          <w:szCs w:val="22"/>
        </w:rPr>
        <w:t xml:space="preserve">Role:   ___________________________________</w:t>
      </w:r>
    </w:p>
    <w:p>
      <w:pPr>
        <w:spacing w:after="40" w:before="40"/>
      </w:pPr>
      <w:r>
        <w:rPr>
          <w:sz w:val="22"/>
          <w:szCs w:val="22"/>
        </w:rPr>
        <w:t xml:space="preserve">Date:   ___________________________________</w:t>
      </w:r>
    </w:p>
    <w:p>
      <w:pPr>
        <w:spacing w:after="0" w:before="120"/>
      </w:pPr>
      <w:r>
        <w:rPr>
          <w:color w:val="666666"/>
          <w:sz w:val="20"/>
          <w:szCs w:val="20"/>
        </w:rPr>
        <w:t xml:space="preserve">Parker Digital &amp; Print Services (trading as AlwaysReady)</w:t>
      </w:r>
    </w:p>
    <w:sectPr>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2026-08-22T10:11:49.802Z</dcterms:created>
  <dcterms:modified xsi:type="dcterms:W3CDTF">2026-08-22T10:11:49.807Z</dcterms:modified>
</cp:coreProperties>
</file>

<file path=docProps/custom.xml><?xml version="1.0" encoding="utf-8"?>
<Properties xmlns="http://schemas.openxmlformats.org/officeDocument/2006/custom-properties" xmlns:vt="http://schemas.openxmlformats.org/officeDocument/2006/docPropsVTypes"/>
</file>