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480"/>
        <w:jc w:val="center"/>
      </w:pPr>
      <w:r>
        <w:rPr>
          <w:rFonts w:ascii="Calibri" w:cs="Calibri" w:eastAsia="Calibri" w:hAnsi="Calibri"/>
          <w:b/>
          <w:bCs/>
          <w:color w:val="014D4E"/>
          <w:sz w:val="56"/>
          <w:szCs w:val="56"/>
        </w:rPr>
        <w:t xml:space="preserve">AlwaysReady</w:t>
      </w:r>
    </w:p>
    <w:p>
      <w:pPr>
        <w:spacing w:after="100" w:before="0"/>
        <w:jc w:val="center"/>
      </w:pPr>
      <w:r>
        <w:rPr>
          <w:rFonts w:ascii="Calibri" w:cs="Calibri" w:eastAsia="Calibri" w:hAnsi="Calibri"/>
          <w:color w:val="666666"/>
          <w:sz w:val="28"/>
          <w:szCs w:val="28"/>
        </w:rPr>
        <w:t xml:space="preserve">Inspection Readiness Platform</w:t>
      </w:r>
    </w:p>
    <w:p>
      <w:pPr>
        <w:spacing w:after="400" w:before="0"/>
        <w:jc w:val="center"/>
      </w:pPr>
      <w:r>
        <w:rPr>
          <w:rFonts w:ascii="Calibri" w:cs="Calibri" w:eastAsia="Calibri" w:hAnsi="Calibri"/>
          <w:b/>
          <w:bCs/>
          <w:color w:val="1a1a1a"/>
          <w:sz w:val="24"/>
          <w:szCs w:val="24"/>
        </w:rPr>
        <w:t xml:space="preserve">Complete Feature List</w:t>
      </w:r>
    </w:p>
    <w:p>
      <w:pPr>
        <w:spacing w:after="80" w:before="0"/>
        <w:jc w:val="center"/>
      </w:pPr>
      <w:r>
        <w:rPr>
          <w:rFonts w:ascii="Calibri" w:cs="Calibri" w:eastAsia="Calibri" w:hAnsi="Calibri"/>
          <w:i/>
          <w:iCs/>
          <w:color w:val="666666"/>
          <w:sz w:val="20"/>
          <w:szCs w:val="20"/>
        </w:rPr>
        <w:t xml:space="preserve">Built for registered care providers. Designed for CQC inspection readiness.</w:t>
      </w:r>
    </w:p>
    <w:p>
      <w:pPr>
        <w:pBdr>
          <w:bottom w:val="single" w:color="00b8a6" w:sz="8" w:space="1"/>
        </w:pBdr>
        <w:spacing w:after="240" w:before="240"/>
      </w:pPr>
      <w:r>
        <w:t xml:space="preserve"/>
      </w:r>
    </w:p>
    <w:p>
      <w:pPr>
        <w:spacing w:after="80" w:before="80"/>
      </w:pPr>
      <w:r>
        <w:rPr>
          <w:rFonts w:ascii="Calibri" w:cs="Calibri" w:eastAsia="Calibri" w:hAnsi="Calibri"/>
          <w:i w:val="false"/>
          <w:iCs w:val="false"/>
          <w:color w:val="666666"/>
          <w:sz w:val="20"/>
          <w:szCs w:val="20"/>
        </w:rPr>
        <w:t xml:space="preserve">AlwaysReady gives care home managers and their teams everything they need to stay inspection-ready — not just in the weeks before a CQC visit, but every single day. Below is a full list of platform features, written to help you understand exactly what you get and why it matters.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 KLOE 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Full CQC KLOE framework, built in</w:t>
      </w:r>
      <w:r>
        <w:rPr>
          <w:rFonts w:ascii="Calibri" w:cs="Calibri" w:eastAsia="Calibri" w:hAnsi="Calibri"/>
          <w:b w:val="false"/>
          <w:bCs w:val="false"/>
          <w:color w:val="1a1a1a"/>
          <w:sz w:val="20"/>
          <w:szCs w:val="20"/>
        </w:rPr>
        <w:t xml:space="preserve"> — All 24 KLOEs across 5 key questions are pre-loaded. No setup, no spreadsheets — just open the platform and start tracking.</w:t>
      </w:r>
    </w:p>
    <w:p>
      <w:pPr>
        <w:pStyle w:val="ListParagraph"/>
        <w:numPr>
          <w:ilvl w:val="0"/>
          <w:numId w:val="2"/>
        </w:numPr>
        <w:spacing w:after="60" w:before="60"/>
      </w:pPr>
      <w:r>
        <w:rPr>
          <w:rFonts w:ascii="Calibri" w:cs="Calibri" w:eastAsia="Calibri" w:hAnsi="Calibri"/>
          <w:b/>
          <w:bCs/>
          <w:color w:val="1a1a1a"/>
          <w:sz w:val="20"/>
          <w:szCs w:val="20"/>
        </w:rPr>
        <w:t xml:space="preserve">RAG status — date-driven and automatic</w:t>
      </w:r>
      <w:r>
        <w:rPr>
          <w:rFonts w:ascii="Calibri" w:cs="Calibri" w:eastAsia="Calibri" w:hAnsi="Calibri"/>
          <w:b w:val="false"/>
          <w:bCs w:val="false"/>
          <w:color w:val="1a1a1a"/>
          <w:sz w:val="20"/>
          <w:szCs w:val="20"/>
        </w:rPr>
        <w:t xml:space="preserve"> — Each KLOE is automatically colour-coded Red, Amber, Green, or Grey based on when it was last reviewed and when it’s next due. No manual updates needed.</w:t>
      </w:r>
    </w:p>
    <w:p>
      <w:pPr>
        <w:pStyle w:val="ListParagraph"/>
        <w:numPr>
          <w:ilvl w:val="0"/>
          <w:numId w:val="2"/>
        </w:numPr>
        <w:spacing w:after="60" w:before="60"/>
      </w:pPr>
      <w:r>
        <w:rPr>
          <w:rFonts w:ascii="Calibri" w:cs="Calibri" w:eastAsia="Calibri" w:hAnsi="Calibri"/>
          <w:b/>
          <w:bCs/>
          <w:color w:val="1a1a1a"/>
          <w:sz w:val="20"/>
          <w:szCs w:val="20"/>
        </w:rPr>
        <w:t xml:space="preserve">Compliance status tracking</w:t>
      </w:r>
      <w:r>
        <w:rPr>
          <w:rFonts w:ascii="Calibri" w:cs="Calibri" w:eastAsia="Calibri" w:hAnsi="Calibri"/>
          <w:b w:val="false"/>
          <w:bCs w:val="false"/>
          <w:color w:val="1a1a1a"/>
          <w:sz w:val="20"/>
          <w:szCs w:val="20"/>
        </w:rPr>
        <w:t xml:space="preserve"> — Mark each KLOE as Not Started, In Progress, or Completed. Status is always visible to the whole team and logged in the audit trail.</w:t>
      </w:r>
    </w:p>
    <w:p>
      <w:pPr>
        <w:pStyle w:val="ListParagraph"/>
        <w:numPr>
          <w:ilvl w:val="0"/>
          <w:numId w:val="2"/>
        </w:numPr>
        <w:spacing w:after="60" w:before="60"/>
      </w:pPr>
      <w:r>
        <w:rPr>
          <w:rFonts w:ascii="Calibri" w:cs="Calibri" w:eastAsia="Calibri" w:hAnsi="Calibri"/>
          <w:b/>
          <w:bCs/>
          <w:color w:val="1a1a1a"/>
          <w:sz w:val="20"/>
          <w:szCs w:val="20"/>
        </w:rPr>
        <w:t xml:space="preserve">Review date and frequency</w:t>
      </w:r>
      <w:r>
        <w:rPr>
          <w:rFonts w:ascii="Calibri" w:cs="Calibri" w:eastAsia="Calibri" w:hAnsi="Calibri"/>
          <w:b w:val="false"/>
          <w:bCs w:val="false"/>
          <w:color w:val="1a1a1a"/>
          <w:sz w:val="20"/>
          <w:szCs w:val="20"/>
        </w:rPr>
        <w:t xml:space="preserve"> — Set a review date and how often each KLOE should be revisited. The system automatically calculates your next due date.</w:t>
      </w:r>
    </w:p>
    <w:p>
      <w:pPr>
        <w:pStyle w:val="ListParagraph"/>
        <w:numPr>
          <w:ilvl w:val="0"/>
          <w:numId w:val="2"/>
        </w:numPr>
        <w:spacing w:after="60" w:before="60"/>
      </w:pPr>
      <w:r>
        <w:rPr>
          <w:rFonts w:ascii="Calibri" w:cs="Calibri" w:eastAsia="Calibri" w:hAnsi="Calibri"/>
          <w:b/>
          <w:bCs/>
          <w:color w:val="1a1a1a"/>
          <w:sz w:val="20"/>
          <w:szCs w:val="20"/>
        </w:rPr>
        <w:t xml:space="preserve">Priority scoring</w:t>
      </w:r>
      <w:r>
        <w:rPr>
          <w:rFonts w:ascii="Calibri" w:cs="Calibri" w:eastAsia="Calibri" w:hAnsi="Calibri"/>
          <w:b w:val="false"/>
          <w:bCs w:val="false"/>
          <w:color w:val="1a1a1a"/>
          <w:sz w:val="20"/>
          <w:szCs w:val="20"/>
        </w:rPr>
        <w:t xml:space="preserve"> — Assign a priority from 1 (critical) to 5 (minimal) to each KLOE. Helps your team focus on the areas that carry the most inspection risk.</w:t>
      </w:r>
    </w:p>
    <w:p>
      <w:pPr>
        <w:pStyle w:val="ListParagraph"/>
        <w:numPr>
          <w:ilvl w:val="0"/>
          <w:numId w:val="2"/>
        </w:numPr>
        <w:spacing w:after="60" w:before="60"/>
      </w:pPr>
      <w:r>
        <w:rPr>
          <w:rFonts w:ascii="Calibri" w:cs="Calibri" w:eastAsia="Calibri" w:hAnsi="Calibri"/>
          <w:b/>
          <w:bCs/>
          <w:color w:val="1a1a1a"/>
          <w:sz w:val="20"/>
          <w:szCs w:val="20"/>
        </w:rPr>
        <w:t xml:space="preserve">Notes and context</w:t>
      </w:r>
      <w:r>
        <w:rPr>
          <w:rFonts w:ascii="Calibri" w:cs="Calibri" w:eastAsia="Calibri" w:hAnsi="Calibri"/>
          <w:b w:val="false"/>
          <w:bCs w:val="false"/>
          <w:color w:val="1a1a1a"/>
          <w:sz w:val="20"/>
          <w:szCs w:val="20"/>
        </w:rPr>
        <w:t xml:space="preserve"> — Add free-text notes to any KLOE update. Every note is permanently recorded with who wrote it and when.</w:t>
      </w:r>
    </w:p>
    <w:p>
      <w:pPr>
        <w:pStyle w:val="ListParagraph"/>
        <w:numPr>
          <w:ilvl w:val="0"/>
          <w:numId w:val="2"/>
        </w:numPr>
        <w:spacing w:after="60" w:before="60"/>
      </w:pPr>
      <w:r>
        <w:rPr>
          <w:rFonts w:ascii="Calibri" w:cs="Calibri" w:eastAsia="Calibri" w:hAnsi="Calibri"/>
          <w:b/>
          <w:bCs/>
          <w:color w:val="1a1a1a"/>
          <w:sz w:val="20"/>
          <w:szCs w:val="20"/>
        </w:rPr>
        <w:t xml:space="preserve">CQC rating characteristics</w:t>
      </w:r>
      <w:r>
        <w:rPr>
          <w:rFonts w:ascii="Calibri" w:cs="Calibri" w:eastAsia="Calibri" w:hAnsi="Calibri"/>
          <w:b w:val="false"/>
          <w:bCs w:val="false"/>
          <w:color w:val="1a1a1a"/>
          <w:sz w:val="20"/>
          <w:szCs w:val="20"/>
        </w:rPr>
        <w:t xml:space="preserve"> — See exactly what Outstanding, Good, Requires Improvement, and Inadequate look like for each individual KLOE — taken directly from CQC guidance.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2. Compliance Checklists</w:t>
      </w:r>
    </w:p>
    <w:p>
      <w:pPr>
        <w:pStyle w:val="ListParagraph"/>
        <w:numPr>
          <w:ilvl w:val="0"/>
          <w:numId w:val="2"/>
        </w:numPr>
        <w:spacing w:after="60" w:before="60"/>
      </w:pPr>
      <w:r>
        <w:rPr>
          <w:rFonts w:ascii="Calibri" w:cs="Calibri" w:eastAsia="Calibri" w:hAnsi="Calibri"/>
          <w:b/>
          <w:bCs/>
          <w:color w:val="1a1a1a"/>
          <w:sz w:val="20"/>
          <w:szCs w:val="20"/>
        </w:rPr>
        <w:t xml:space="preserve">Per-KLOE evidence checklists</w:t>
      </w:r>
      <w:r>
        <w:rPr>
          <w:rFonts w:ascii="Calibri" w:cs="Calibri" w:eastAsia="Calibri" w:hAnsi="Calibri"/>
          <w:b w:val="false"/>
          <w:bCs w:val="false"/>
          <w:color w:val="1a1a1a"/>
          <w:sz w:val="20"/>
          <w:szCs w:val="20"/>
        </w:rPr>
        <w:t xml:space="preserve"> — Every KLOE has a pre-built checklist of the specific evidence CQC inspectors look for. Tick each item off as you gather it.</w:t>
      </w:r>
    </w:p>
    <w:p>
      <w:pPr>
        <w:pStyle w:val="ListParagraph"/>
        <w:numPr>
          <w:ilvl w:val="0"/>
          <w:numId w:val="2"/>
        </w:numPr>
        <w:spacing w:after="60" w:before="60"/>
      </w:pPr>
      <w:r>
        <w:rPr>
          <w:rFonts w:ascii="Calibri" w:cs="Calibri" w:eastAsia="Calibri" w:hAnsi="Calibri"/>
          <w:b/>
          <w:bCs/>
          <w:color w:val="1a1a1a"/>
          <w:sz w:val="20"/>
          <w:szCs w:val="20"/>
        </w:rPr>
        <w:t xml:space="preserve">“What evidence is needed?” guidance</w:t>
      </w:r>
      <w:r>
        <w:rPr>
          <w:rFonts w:ascii="Calibri" w:cs="Calibri" w:eastAsia="Calibri" w:hAnsi="Calibri"/>
          <w:b w:val="false"/>
          <w:bCs w:val="false"/>
          <w:color w:val="1a1a1a"/>
          <w:sz w:val="20"/>
          <w:szCs w:val="20"/>
        </w:rPr>
        <w:t xml:space="preserve"> — One click on any checklist item reveals exactly what evidence is expected, written in plain English.</w:t>
      </w:r>
    </w:p>
    <w:p>
      <w:pPr>
        <w:pStyle w:val="ListParagraph"/>
        <w:numPr>
          <w:ilvl w:val="0"/>
          <w:numId w:val="2"/>
        </w:numPr>
        <w:spacing w:after="60" w:before="60"/>
      </w:pPr>
      <w:r>
        <w:rPr>
          <w:rFonts w:ascii="Calibri" w:cs="Calibri" w:eastAsia="Calibri" w:hAnsi="Calibri"/>
          <w:b/>
          <w:bCs/>
          <w:color w:val="1a1a1a"/>
          <w:sz w:val="20"/>
          <w:szCs w:val="20"/>
        </w:rPr>
        <w:t xml:space="preserve">Progress bar</w:t>
      </w:r>
      <w:r>
        <w:rPr>
          <w:rFonts w:ascii="Calibri" w:cs="Calibri" w:eastAsia="Calibri" w:hAnsi="Calibri"/>
          <w:b w:val="false"/>
          <w:bCs w:val="false"/>
          <w:color w:val="1a1a1a"/>
          <w:sz w:val="20"/>
          <w:szCs w:val="20"/>
        </w:rPr>
        <w:t xml:space="preserve"> — A visual progress bar shows how many checklist items are ticked for each KLOE.</w:t>
      </w:r>
    </w:p>
    <w:p>
      <w:pPr>
        <w:pStyle w:val="ListParagraph"/>
        <w:numPr>
          <w:ilvl w:val="0"/>
          <w:numId w:val="2"/>
        </w:numPr>
        <w:spacing w:after="60" w:before="60"/>
      </w:pPr>
      <w:r>
        <w:rPr>
          <w:rFonts w:ascii="Calibri" w:cs="Calibri" w:eastAsia="Calibri" w:hAnsi="Calibri"/>
          <w:b/>
          <w:bCs/>
          <w:color w:val="1a1a1a"/>
          <w:sz w:val="20"/>
          <w:szCs w:val="20"/>
        </w:rPr>
        <w:t xml:space="preserve">Automatic checklist reset on review</w:t>
      </w:r>
      <w:r>
        <w:rPr>
          <w:rFonts w:ascii="Calibri" w:cs="Calibri" w:eastAsia="Calibri" w:hAnsi="Calibri"/>
          <w:b w:val="false"/>
          <w:bCs w:val="false"/>
          <w:color w:val="1a1a1a"/>
          <w:sz w:val="20"/>
          <w:szCs w:val="20"/>
        </w:rPr>
        <w:t xml:space="preserve"> — When you log a new review date, the checklist ticks reset automatically — ready for the next review cycle.</w:t>
      </w:r>
    </w:p>
    <w:p>
      <w:pPr>
        <w:pStyle w:val="ListParagraph"/>
        <w:numPr>
          <w:ilvl w:val="0"/>
          <w:numId w:val="2"/>
        </w:numPr>
        <w:spacing w:after="60" w:before="60"/>
      </w:pPr>
      <w:r>
        <w:rPr>
          <w:rFonts w:ascii="Calibri" w:cs="Calibri" w:eastAsia="Calibri" w:hAnsi="Calibri"/>
          <w:b/>
          <w:bCs/>
          <w:color w:val="1a1a1a"/>
          <w:sz w:val="20"/>
          <w:szCs w:val="20"/>
        </w:rPr>
        <w:t xml:space="preserve">Three verified service types</w:t>
      </w:r>
      <w:r>
        <w:rPr>
          <w:rFonts w:ascii="Calibri" w:cs="Calibri" w:eastAsia="Calibri" w:hAnsi="Calibri"/>
          <w:b w:val="false"/>
          <w:bCs w:val="false"/>
          <w:color w:val="1a1a1a"/>
          <w:sz w:val="20"/>
          <w:szCs w:val="20"/>
        </w:rPr>
        <w:t xml:space="preserve"> — All checklist items have been cross-referenced against CQC Good rating characteristics:</w:t>
      </w:r>
    </w:p>
    <w:p>
      <w:pPr>
        <w:pStyle w:val="ListParagraph"/>
        <w:numPr>
          <w:ilvl w:val="0"/>
          <w:numId w:val="2"/>
        </w:numPr>
        <w:spacing w:after="40" w:before="40"/>
        <w:ind w:left="1080"/>
      </w:pPr>
      <w:r>
        <w:rPr>
          <w:rFonts w:ascii="Calibri" w:cs="Calibri" w:eastAsia="Calibri" w:hAnsi="Calibri"/>
          <w:color w:val="1a1a1a"/>
          <w:sz w:val="20"/>
          <w:szCs w:val="20"/>
        </w:rPr>
        <w:t xml:space="preserve">Residential Care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Nursing Home — 84 checklist items</w:t>
      </w:r>
    </w:p>
    <w:p>
      <w:pPr>
        <w:pStyle w:val="ListParagraph"/>
        <w:numPr>
          <w:ilvl w:val="0"/>
          <w:numId w:val="2"/>
        </w:numPr>
        <w:spacing w:after="40" w:before="40"/>
        <w:ind w:left="1080"/>
      </w:pPr>
      <w:r>
        <w:rPr>
          <w:rFonts w:ascii="Calibri" w:cs="Calibri" w:eastAsia="Calibri" w:hAnsi="Calibri"/>
          <w:color w:val="1a1a1a"/>
          <w:sz w:val="20"/>
          <w:szCs w:val="20"/>
        </w:rPr>
        <w:t xml:space="preserve">Dual-Registered Care Home — 179 checklist items (Residential, Nursing, and Joint)</w:t>
      </w:r>
    </w:p>
    <w:p>
      <w:pPr>
        <w:pStyle w:val="ListParagraph"/>
        <w:numPr>
          <w:ilvl w:val="0"/>
          <w:numId w:val="2"/>
        </w:numPr>
        <w:spacing w:after="60" w:before="60"/>
      </w:pPr>
      <w:r>
        <w:rPr>
          <w:rFonts w:ascii="Calibri" w:cs="Calibri" w:eastAsia="Calibri" w:hAnsi="Calibri"/>
          <w:b/>
          <w:bCs/>
          <w:color w:val="1a1a1a"/>
          <w:sz w:val="20"/>
          <w:szCs w:val="20"/>
        </w:rPr>
        <w:t xml:space="preserve">Residential and Nursing wing split</w:t>
      </w:r>
      <w:r>
        <w:rPr>
          <w:rFonts w:ascii="Calibri" w:cs="Calibri" w:eastAsia="Calibri" w:hAnsi="Calibri"/>
          <w:b w:val="false"/>
          <w:bCs w:val="false"/>
          <w:color w:val="1a1a1a"/>
          <w:sz w:val="20"/>
          <w:szCs w:val="20"/>
        </w:rPr>
        <w:t xml:space="preserve"> — For dual-registered homes, checklist items are split by wing with Dementia Care items shown separately.</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3. People’s Voice</w:t>
      </w:r>
    </w:p>
    <w:p>
      <w:pPr>
        <w:spacing w:after="80" w:before="80"/>
      </w:pPr>
      <w:r>
        <w:rPr>
          <w:rFonts w:ascii="Calibri" w:cs="Calibri" w:eastAsia="Calibri" w:hAnsi="Calibri"/>
          <w:i/>
          <w:iCs/>
          <w:color w:val="666666"/>
          <w:sz w:val="20"/>
          <w:szCs w:val="20"/>
        </w:rPr>
        <w:t xml:space="preserve">CQC gathers evidence on People’s Voice directly from residents, families, and carers during inspections. This module helps teams understand what inspectors will ask and prepare their own evidence in advance.</w:t>
      </w:r>
    </w:p>
    <w:p>
      <w:pPr>
        <w:pStyle w:val="ListParagraph"/>
        <w:numPr>
          <w:ilvl w:val="0"/>
          <w:numId w:val="2"/>
        </w:numPr>
        <w:spacing w:after="60" w:before="60"/>
      </w:pPr>
      <w:r>
        <w:rPr>
          <w:rFonts w:ascii="Calibri" w:cs="Calibri" w:eastAsia="Calibri" w:hAnsi="Calibri"/>
          <w:b/>
          <w:bCs/>
          <w:color w:val="1a1a1a"/>
          <w:sz w:val="20"/>
          <w:szCs w:val="20"/>
        </w:rPr>
        <w:t xml:space="preserve">19 TLAP “I” statements, built in</w:t>
      </w:r>
      <w:r>
        <w:rPr>
          <w:rFonts w:ascii="Calibri" w:cs="Calibri" w:eastAsia="Calibri" w:hAnsi="Calibri"/>
          <w:b w:val="false"/>
          <w:bCs w:val="false"/>
          <w:color w:val="1a1a1a"/>
          <w:sz w:val="20"/>
          <w:szCs w:val="20"/>
        </w:rPr>
        <w:t xml:space="preserve"> — The 19 authentic “I” statements from the CQC draft 2026 assessment framework are pre-loaded and ready to work with.</w:t>
      </w:r>
    </w:p>
    <w:p>
      <w:pPr>
        <w:pStyle w:val="ListParagraph"/>
        <w:numPr>
          <w:ilvl w:val="0"/>
          <w:numId w:val="2"/>
        </w:numPr>
        <w:spacing w:after="60" w:before="60"/>
      </w:pPr>
      <w:r>
        <w:rPr>
          <w:rFonts w:ascii="Calibri" w:cs="Calibri" w:eastAsia="Calibri" w:hAnsi="Calibri"/>
          <w:b/>
          <w:bCs/>
          <w:color w:val="1a1a1a"/>
          <w:sz w:val="20"/>
          <w:szCs w:val="20"/>
        </w:rPr>
        <w:t xml:space="preserve">Confidence rating per statement</w:t>
      </w:r>
      <w:r>
        <w:rPr>
          <w:rFonts w:ascii="Calibri" w:cs="Calibri" w:eastAsia="Calibri" w:hAnsi="Calibri"/>
          <w:b w:val="false"/>
          <w:bCs w:val="false"/>
          <w:color w:val="1a1a1a"/>
          <w:sz w:val="20"/>
          <w:szCs w:val="20"/>
        </w:rPr>
        <w:t xml:space="preserve"> — Record your evidence and rate your confidence as Green (confident), Amber (developing), or Red (concern).</w:t>
      </w:r>
    </w:p>
    <w:p>
      <w:pPr>
        <w:pStyle w:val="ListParagraph"/>
        <w:numPr>
          <w:ilvl w:val="0"/>
          <w:numId w:val="2"/>
        </w:numPr>
        <w:spacing w:after="60" w:before="60"/>
      </w:pPr>
      <w:r>
        <w:rPr>
          <w:rFonts w:ascii="Calibri" w:cs="Calibri" w:eastAsia="Calibri" w:hAnsi="Calibri"/>
          <w:b/>
          <w:bCs/>
          <w:color w:val="1a1a1a"/>
          <w:sz w:val="20"/>
          <w:szCs w:val="20"/>
        </w:rPr>
        <w:t xml:space="preserve">Evidence recording</w:t>
      </w:r>
      <w:r>
        <w:rPr>
          <w:rFonts w:ascii="Calibri" w:cs="Calibri" w:eastAsia="Calibri" w:hAnsi="Calibri"/>
          <w:b w:val="false"/>
          <w:bCs w:val="false"/>
          <w:color w:val="1a1a1a"/>
          <w:sz w:val="20"/>
          <w:szCs w:val="20"/>
        </w:rPr>
        <w:t xml:space="preserve"> — Capture free-text evidence notes against each statement — what your service does, what residents say, what documentation supports it.</w:t>
      </w:r>
    </w:p>
    <w:p>
      <w:pPr>
        <w:pStyle w:val="ListParagraph"/>
        <w:numPr>
          <w:ilvl w:val="0"/>
          <w:numId w:val="2"/>
        </w:numPr>
        <w:spacing w:after="60" w:before="60"/>
      </w:pPr>
      <w:r>
        <w:rPr>
          <w:rFonts w:ascii="Calibri" w:cs="Calibri" w:eastAsia="Calibri" w:hAnsi="Calibri"/>
          <w:b/>
          <w:bCs/>
          <w:color w:val="1a1a1a"/>
          <w:sz w:val="20"/>
          <w:szCs w:val="20"/>
        </w:rPr>
        <w:t xml:space="preserve">Grouped by key question</w:t>
      </w:r>
      <w:r>
        <w:rPr>
          <w:rFonts w:ascii="Calibri" w:cs="Calibri" w:eastAsia="Calibri" w:hAnsi="Calibri"/>
          <w:b w:val="false"/>
          <w:bCs w:val="false"/>
          <w:color w:val="1a1a1a"/>
          <w:sz w:val="20"/>
          <w:szCs w:val="20"/>
        </w:rPr>
        <w:t xml:space="preserve"> — Statements are organised by CQC key question so teams can see where their strengths and gaps are.</w:t>
      </w:r>
    </w:p>
    <w:p>
      <w:pPr>
        <w:pStyle w:val="ListParagraph"/>
        <w:numPr>
          <w:ilvl w:val="0"/>
          <w:numId w:val="2"/>
        </w:numPr>
        <w:spacing w:after="60" w:before="60"/>
      </w:pPr>
      <w:r>
        <w:rPr>
          <w:rFonts w:ascii="Calibri" w:cs="Calibri" w:eastAsia="Calibri" w:hAnsi="Calibri"/>
          <w:b/>
          <w:bCs/>
          <w:color w:val="1a1a1a"/>
          <w:sz w:val="20"/>
          <w:szCs w:val="20"/>
        </w:rPr>
        <w:t xml:space="preserve">Summary dashboard</w:t>
      </w:r>
      <w:r>
        <w:rPr>
          <w:rFonts w:ascii="Calibri" w:cs="Calibri" w:eastAsia="Calibri" w:hAnsi="Calibri"/>
          <w:b w:val="false"/>
          <w:bCs w:val="false"/>
          <w:color w:val="1a1a1a"/>
          <w:sz w:val="20"/>
          <w:szCs w:val="20"/>
        </w:rPr>
        <w:t xml:space="preserve"> — A colour-coded summary shows how many statements are Green, Amber, Red, or not yet assessed at a glance.</w:t>
      </w:r>
    </w:p>
    <w:p>
      <w:pPr>
        <w:pStyle w:val="ListParagraph"/>
        <w:numPr>
          <w:ilvl w:val="0"/>
          <w:numId w:val="2"/>
        </w:numPr>
        <w:spacing w:after="60" w:before="60"/>
      </w:pPr>
      <w:r>
        <w:rPr>
          <w:rFonts w:ascii="Calibri" w:cs="Calibri" w:eastAsia="Calibri" w:hAnsi="Calibri"/>
          <w:b/>
          <w:bCs/>
          <w:color w:val="1a1a1a"/>
          <w:sz w:val="20"/>
          <w:szCs w:val="20"/>
        </w:rPr>
        <w:t xml:space="preserve">Read-only for viewers</w:t>
      </w:r>
      <w:r>
        <w:rPr>
          <w:rFonts w:ascii="Calibri" w:cs="Calibri" w:eastAsia="Calibri" w:hAnsi="Calibri"/>
          <w:b w:val="false"/>
          <w:bCs w:val="false"/>
          <w:color w:val="1a1a1a"/>
          <w:sz w:val="20"/>
          <w:szCs w:val="20"/>
        </w:rPr>
        <w:t xml:space="preserve"> — Visitor logins can view People’s Voice evidence but cannot edit 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4. Reporting &amp; Visibility</w:t>
      </w:r>
    </w:p>
    <w:p>
      <w:pPr>
        <w:pStyle w:val="ListParagraph"/>
        <w:numPr>
          <w:ilvl w:val="0"/>
          <w:numId w:val="2"/>
        </w:numPr>
        <w:spacing w:after="60" w:before="60"/>
      </w:pPr>
      <w:r>
        <w:rPr>
          <w:rFonts w:ascii="Calibri" w:cs="Calibri" w:eastAsia="Calibri" w:hAnsi="Calibri"/>
          <w:b/>
          <w:bCs/>
          <w:color w:val="1a1a1a"/>
          <w:sz w:val="20"/>
          <w:szCs w:val="20"/>
        </w:rPr>
        <w:t xml:space="preserve">Readiness Dashboard</w:t>
      </w:r>
      <w:r>
        <w:rPr>
          <w:rFonts w:ascii="Calibri" w:cs="Calibri" w:eastAsia="Calibri" w:hAnsi="Calibri"/>
          <w:b w:val="false"/>
          <w:bCs w:val="false"/>
          <w:color w:val="1a1a1a"/>
          <w:sz w:val="20"/>
          <w:szCs w:val="20"/>
        </w:rPr>
        <w:t xml:space="preserve"> — Your inspection readiness at a glance. Shows the RAG breakdown across all KLOEs so you always know where you stand.</w:t>
      </w:r>
    </w:p>
    <w:p>
      <w:pPr>
        <w:pStyle w:val="ListParagraph"/>
        <w:numPr>
          <w:ilvl w:val="0"/>
          <w:numId w:val="2"/>
        </w:numPr>
        <w:spacing w:after="60" w:before="60"/>
      </w:pPr>
      <w:r>
        <w:rPr>
          <w:rFonts w:ascii="Calibri" w:cs="Calibri" w:eastAsia="Calibri" w:hAnsi="Calibri"/>
          <w:b/>
          <w:bCs/>
          <w:color w:val="1a1a1a"/>
          <w:sz w:val="20"/>
          <w:szCs w:val="20"/>
        </w:rPr>
        <w:t xml:space="preserve">Daily Review Report</w:t>
      </w:r>
      <w:r>
        <w:rPr>
          <w:rFonts w:ascii="Calibri" w:cs="Calibri" w:eastAsia="Calibri" w:hAnsi="Calibri"/>
          <w:b w:val="false"/>
          <w:bCs w:val="false"/>
          <w:color w:val="1a1a1a"/>
          <w:sz w:val="20"/>
          <w:szCs w:val="20"/>
        </w:rPr>
        <w:t xml:space="preserve"> — Shows only the KLOEs that need attention today — overdue, due within 30 days, or never assessed. Start every day knowing exactly what to work on.</w:t>
      </w:r>
    </w:p>
    <w:p>
      <w:pPr>
        <w:pStyle w:val="ListParagraph"/>
        <w:numPr>
          <w:ilvl w:val="0"/>
          <w:numId w:val="2"/>
        </w:numPr>
        <w:spacing w:after="60" w:before="60"/>
      </w:pPr>
      <w:r>
        <w:rPr>
          <w:rFonts w:ascii="Calibri" w:cs="Calibri" w:eastAsia="Calibri" w:hAnsi="Calibri"/>
          <w:b/>
          <w:bCs/>
          <w:color w:val="1a1a1a"/>
          <w:sz w:val="20"/>
          <w:szCs w:val="20"/>
        </w:rPr>
        <w:t xml:space="preserve">Readiness Trend Over Time</w:t>
      </w:r>
      <w:r>
        <w:rPr>
          <w:rFonts w:ascii="Calibri" w:cs="Calibri" w:eastAsia="Calibri" w:hAnsi="Calibri"/>
          <w:b w:val="false"/>
          <w:bCs w:val="false"/>
          <w:color w:val="1a1a1a"/>
          <w:sz w:val="20"/>
          <w:szCs w:val="20"/>
        </w:rPr>
        <w:t xml:space="preserve"> — See how your inspection readiness has improved week by week. Useful for board reporting and demonstrating continuous improvement.</w:t>
      </w:r>
    </w:p>
    <w:p>
      <w:pPr>
        <w:pStyle w:val="ListParagraph"/>
        <w:numPr>
          <w:ilvl w:val="0"/>
          <w:numId w:val="2"/>
        </w:numPr>
        <w:spacing w:after="60" w:before="60"/>
      </w:pPr>
      <w:r>
        <w:rPr>
          <w:rFonts w:ascii="Calibri" w:cs="Calibri" w:eastAsia="Calibri" w:hAnsi="Calibri"/>
          <w:b/>
          <w:bCs/>
          <w:color w:val="1a1a1a"/>
          <w:sz w:val="20"/>
          <w:szCs w:val="20"/>
        </w:rPr>
        <w:t xml:space="preserve">Exportable Inspection Pack</w:t>
      </w:r>
      <w:r>
        <w:rPr>
          <w:rFonts w:ascii="Calibri" w:cs="Calibri" w:eastAsia="Calibri" w:hAnsi="Calibri"/>
          <w:b w:val="false"/>
          <w:bCs w:val="false"/>
          <w:color w:val="1a1a1a"/>
          <w:sz w:val="20"/>
          <w:szCs w:val="20"/>
        </w:rPr>
        <w:t xml:space="preserve"> — Generate a professional PDF inspection pack at any time — a full compliance snapshot formatted for inspectors or board members.</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5. Audit Trail &amp; Accountability</w:t>
      </w:r>
    </w:p>
    <w:p>
      <w:pPr>
        <w:pStyle w:val="ListParagraph"/>
        <w:numPr>
          <w:ilvl w:val="0"/>
          <w:numId w:val="2"/>
        </w:numPr>
        <w:spacing w:after="60" w:before="60"/>
      </w:pPr>
      <w:r>
        <w:rPr>
          <w:rFonts w:ascii="Calibri" w:cs="Calibri" w:eastAsia="Calibri" w:hAnsi="Calibri"/>
          <w:b/>
          <w:bCs/>
          <w:color w:val="1a1a1a"/>
          <w:sz w:val="20"/>
          <w:szCs w:val="20"/>
        </w:rPr>
        <w:t xml:space="preserve">Full audit trail per KLOE</w:t>
      </w:r>
      <w:r>
        <w:rPr>
          <w:rFonts w:ascii="Calibri" w:cs="Calibri" w:eastAsia="Calibri" w:hAnsi="Calibri"/>
          <w:b w:val="false"/>
          <w:bCs w:val="false"/>
          <w:color w:val="1a1a1a"/>
          <w:sz w:val="20"/>
          <w:szCs w:val="20"/>
        </w:rPr>
        <w:t xml:space="preserve"> — Every change to every KLOE is permanently recorded — status updates, review dates, priority changes, notes, and file uploads. Nothing can be edited retrospectively.</w:t>
      </w:r>
    </w:p>
    <w:p>
      <w:pPr>
        <w:pStyle w:val="ListParagraph"/>
        <w:numPr>
          <w:ilvl w:val="0"/>
          <w:numId w:val="2"/>
        </w:numPr>
        <w:spacing w:after="60" w:before="60"/>
      </w:pPr>
      <w:r>
        <w:rPr>
          <w:rFonts w:ascii="Calibri" w:cs="Calibri" w:eastAsia="Calibri" w:hAnsi="Calibri"/>
          <w:b/>
          <w:bCs/>
          <w:color w:val="1a1a1a"/>
          <w:sz w:val="20"/>
          <w:szCs w:val="20"/>
        </w:rPr>
        <w:t xml:space="preserve">Chronological timeline view</w:t>
      </w:r>
      <w:r>
        <w:rPr>
          <w:rFonts w:ascii="Calibri" w:cs="Calibri" w:eastAsia="Calibri" w:hAnsi="Calibri"/>
          <w:b w:val="false"/>
          <w:bCs w:val="false"/>
          <w:color w:val="1a1a1a"/>
          <w:sz w:val="20"/>
          <w:szCs w:val="20"/>
        </w:rPr>
        <w:t xml:space="preserve"> — The full audit trail for each KLOE is displayed newest first, with who made each change and when.</w:t>
      </w:r>
    </w:p>
    <w:p>
      <w:pPr>
        <w:pStyle w:val="ListParagraph"/>
        <w:numPr>
          <w:ilvl w:val="0"/>
          <w:numId w:val="2"/>
        </w:numPr>
        <w:spacing w:after="60" w:before="60"/>
      </w:pPr>
      <w:r>
        <w:rPr>
          <w:rFonts w:ascii="Calibri" w:cs="Calibri" w:eastAsia="Calibri" w:hAnsi="Calibri"/>
          <w:b/>
          <w:bCs/>
          <w:color w:val="1a1a1a"/>
          <w:sz w:val="20"/>
          <w:szCs w:val="20"/>
        </w:rPr>
        <w:t xml:space="preserve">Priority and frequency change history</w:t>
      </w:r>
      <w:r>
        <w:rPr>
          <w:rFonts w:ascii="Calibri" w:cs="Calibri" w:eastAsia="Calibri" w:hAnsi="Calibri"/>
          <w:b w:val="false"/>
          <w:bCs w:val="false"/>
          <w:color w:val="1a1a1a"/>
          <w:sz w:val="20"/>
          <w:szCs w:val="20"/>
        </w:rPr>
        <w:t xml:space="preserve"> — Every change to a KLOE’s priority or review frequency is logged with a before-and-after view.</w:t>
      </w:r>
    </w:p>
    <w:p>
      <w:pPr>
        <w:pStyle w:val="ListParagraph"/>
        <w:numPr>
          <w:ilvl w:val="0"/>
          <w:numId w:val="2"/>
        </w:numPr>
        <w:spacing w:after="60" w:before="60"/>
      </w:pPr>
      <w:r>
        <w:rPr>
          <w:rFonts w:ascii="Calibri" w:cs="Calibri" w:eastAsia="Calibri" w:hAnsi="Calibri"/>
          <w:b/>
          <w:bCs/>
          <w:color w:val="1a1a1a"/>
          <w:sz w:val="20"/>
          <w:szCs w:val="20"/>
        </w:rPr>
        <w:t xml:space="preserve">File upload events in audit trail</w:t>
      </w:r>
      <w:r>
        <w:rPr>
          <w:rFonts w:ascii="Calibri" w:cs="Calibri" w:eastAsia="Calibri" w:hAnsi="Calibri"/>
          <w:b w:val="false"/>
          <w:bCs w:val="false"/>
          <w:color w:val="1a1a1a"/>
          <w:sz w:val="20"/>
          <w:szCs w:val="20"/>
        </w:rPr>
        <w:t xml:space="preserve"> — Uploaded evidence files appear in the audit trail alongside compliance updates, giving a single unified view.</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6. Evidence File Management</w:t>
      </w:r>
    </w:p>
    <w:p>
      <w:pPr>
        <w:pStyle w:val="ListParagraph"/>
        <w:numPr>
          <w:ilvl w:val="0"/>
          <w:numId w:val="2"/>
        </w:numPr>
        <w:spacing w:after="60" w:before="60"/>
      </w:pPr>
      <w:r>
        <w:rPr>
          <w:rFonts w:ascii="Calibri" w:cs="Calibri" w:eastAsia="Calibri" w:hAnsi="Calibri"/>
          <w:b/>
          <w:bCs/>
          <w:color w:val="1a1a1a"/>
          <w:sz w:val="20"/>
          <w:szCs w:val="20"/>
        </w:rPr>
        <w:t xml:space="preserve">Secure file uploads</w:t>
      </w:r>
      <w:r>
        <w:rPr>
          <w:rFonts w:ascii="Calibri" w:cs="Calibri" w:eastAsia="Calibri" w:hAnsi="Calibri"/>
          <w:b w:val="false"/>
          <w:bCs w:val="false"/>
          <w:color w:val="1a1a1a"/>
          <w:sz w:val="20"/>
          <w:szCs w:val="20"/>
        </w:rPr>
        <w:t xml:space="preserve"> — Upload supporting evidence documents directly to AlwaysReady — policies, audits, training records, photographs. Files are stored privately.</w:t>
      </w:r>
    </w:p>
    <w:p>
      <w:pPr>
        <w:pStyle w:val="ListParagraph"/>
        <w:numPr>
          <w:ilvl w:val="0"/>
          <w:numId w:val="2"/>
        </w:numPr>
        <w:spacing w:after="60" w:before="60"/>
      </w:pPr>
      <w:r>
        <w:rPr>
          <w:rFonts w:ascii="Calibri" w:cs="Calibri" w:eastAsia="Calibri" w:hAnsi="Calibri"/>
          <w:b/>
          <w:bCs/>
          <w:color w:val="1a1a1a"/>
          <w:sz w:val="20"/>
          <w:szCs w:val="20"/>
        </w:rPr>
        <w:t xml:space="preserve">Supported file types</w:t>
      </w:r>
      <w:r>
        <w:rPr>
          <w:rFonts w:ascii="Calibri" w:cs="Calibri" w:eastAsia="Calibri" w:hAnsi="Calibri"/>
          <w:b w:val="false"/>
          <w:bCs w:val="false"/>
          <w:color w:val="1a1a1a"/>
          <w:sz w:val="20"/>
          <w:szCs w:val="20"/>
        </w:rPr>
        <w:t xml:space="preserve"> — PDF, Word (.doc, .docx), Excel (.xls, .xlsx), and images (JPG, PNG). Maximum 10 MB per file.</w:t>
      </w:r>
    </w:p>
    <w:p>
      <w:pPr>
        <w:pStyle w:val="ListParagraph"/>
        <w:numPr>
          <w:ilvl w:val="0"/>
          <w:numId w:val="2"/>
        </w:numPr>
        <w:spacing w:after="60" w:before="60"/>
      </w:pPr>
      <w:r>
        <w:rPr>
          <w:rFonts w:ascii="Calibri" w:cs="Calibri" w:eastAsia="Calibri" w:hAnsi="Calibri"/>
          <w:b/>
          <w:bCs/>
          <w:color w:val="1a1a1a"/>
          <w:sz w:val="20"/>
          <w:szCs w:val="20"/>
        </w:rPr>
        <w:t xml:space="preserve">Automatic virus scanning</w:t>
      </w:r>
      <w:r>
        <w:rPr>
          <w:rFonts w:ascii="Calibri" w:cs="Calibri" w:eastAsia="Calibri" w:hAnsi="Calibri"/>
          <w:b w:val="false"/>
          <w:bCs w:val="false"/>
          <w:color w:val="1a1a1a"/>
          <w:sz w:val="20"/>
          <w:szCs w:val="20"/>
        </w:rPr>
        <w:t xml:space="preserve"> — Every uploaded file is automatically scanned for malware before it is stored. Safe files display a “Scanned for viruses” badge.</w:t>
      </w:r>
    </w:p>
    <w:p>
      <w:pPr>
        <w:pStyle w:val="ListParagraph"/>
        <w:numPr>
          <w:ilvl w:val="0"/>
          <w:numId w:val="2"/>
        </w:numPr>
        <w:spacing w:after="60" w:before="60"/>
      </w:pPr>
      <w:r>
        <w:rPr>
          <w:rFonts w:ascii="Calibri" w:cs="Calibri" w:eastAsia="Calibri" w:hAnsi="Calibri"/>
          <w:b/>
          <w:bCs/>
          <w:color w:val="1a1a1a"/>
          <w:sz w:val="20"/>
          <w:szCs w:val="20"/>
        </w:rPr>
        <w:t xml:space="preserve">Server-side file validation</w:t>
      </w:r>
      <w:r>
        <w:rPr>
          <w:rFonts w:ascii="Calibri" w:cs="Calibri" w:eastAsia="Calibri" w:hAnsi="Calibri"/>
          <w:b w:val="false"/>
          <w:bCs w:val="false"/>
          <w:color w:val="1a1a1a"/>
          <w:sz w:val="20"/>
          <w:szCs w:val="20"/>
        </w:rPr>
        <w:t xml:space="preserve"> — File types are validated by inspecting the actual file content — not just the file extension.</w:t>
      </w:r>
    </w:p>
    <w:p>
      <w:pPr>
        <w:pStyle w:val="ListParagraph"/>
        <w:numPr>
          <w:ilvl w:val="0"/>
          <w:numId w:val="2"/>
        </w:numPr>
        <w:spacing w:after="60" w:before="60"/>
      </w:pPr>
      <w:r>
        <w:rPr>
          <w:rFonts w:ascii="Calibri" w:cs="Calibri" w:eastAsia="Calibri" w:hAnsi="Calibri"/>
          <w:b/>
          <w:bCs/>
          <w:color w:val="1a1a1a"/>
          <w:sz w:val="20"/>
          <w:szCs w:val="20"/>
        </w:rPr>
        <w:t xml:space="preserve">Governance-only uploads</w:t>
      </w:r>
      <w:r>
        <w:rPr>
          <w:rFonts w:ascii="Calibri" w:cs="Calibri" w:eastAsia="Calibri" w:hAnsi="Calibri"/>
          <w:b w:val="false"/>
          <w:bCs w:val="false"/>
          <w:color w:val="1a1a1a"/>
          <w:sz w:val="20"/>
          <w:szCs w:val="20"/>
        </w:rPr>
        <w:t xml:space="preserve"> — AlwaysReady is a governance tool — it never stores care records or resident personal data.</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7. HR Module</w:t>
      </w:r>
    </w:p>
    <w:p>
      <w:pPr>
        <w:spacing w:after="80" w:before="80"/>
      </w:pPr>
      <w:r>
        <w:rPr>
          <w:rFonts w:ascii="Calibri" w:cs="Calibri" w:eastAsia="Calibri" w:hAnsi="Calibri"/>
          <w:i/>
          <w:iCs/>
          <w:color w:val="666666"/>
          <w:sz w:val="20"/>
          <w:szCs w:val="20"/>
        </w:rPr>
        <w:t xml:space="preserve">A complete HR records module is built directly into the platform — no separate system needed for the core HR data your CQC inspector may ask to see.</w:t>
      </w:r>
    </w:p>
    <w:p>
      <w:pPr>
        <w:spacing w:after="40" w:before="40"/>
      </w:pPr>
      <w:r>
        <w:t xml:space="preserve"/>
      </w:r>
    </w:p>
    <w:p>
      <w:pPr>
        <w:spacing w:after="80" w:before="200"/>
      </w:pPr>
      <w:r>
        <w:rPr>
          <w:rFonts w:ascii="Calibri" w:cs="Calibri" w:eastAsia="Calibri" w:hAnsi="Calibri"/>
          <w:b/>
          <w:bCs/>
          <w:color w:val="014D4E"/>
          <w:sz w:val="21"/>
          <w:szCs w:val="21"/>
        </w:rPr>
        <w:t xml:space="preserve">Employment Records</w:t>
      </w:r>
    </w:p>
    <w:p>
      <w:pPr>
        <w:pStyle w:val="ListParagraph"/>
        <w:numPr>
          <w:ilvl w:val="0"/>
          <w:numId w:val="2"/>
        </w:numPr>
        <w:spacing w:after="60" w:before="60"/>
      </w:pPr>
      <w:r>
        <w:rPr>
          <w:rFonts w:ascii="Calibri" w:cs="Calibri" w:eastAsia="Calibri" w:hAnsi="Calibri"/>
          <w:b/>
          <w:bCs/>
          <w:color w:val="1a1a1a"/>
          <w:sz w:val="20"/>
          <w:szCs w:val="20"/>
        </w:rPr>
        <w:t xml:space="preserve">Employment details</w:t>
      </w:r>
      <w:r>
        <w:rPr>
          <w:rFonts w:ascii="Calibri" w:cs="Calibri" w:eastAsia="Calibri" w:hAnsi="Calibri"/>
          <w:b w:val="false"/>
          <w:bCs w:val="false"/>
          <w:color w:val="1a1a1a"/>
          <w:sz w:val="20"/>
          <w:szCs w:val="20"/>
        </w:rPr>
        <w:t xml:space="preserve"> — NI number, job title, department, employee type (full-time, part-time, zero hours, bank, agency, volunteer), contracted hours, employment start date, leaving date, and employment status.</w:t>
      </w:r>
    </w:p>
    <w:p>
      <w:pPr>
        <w:pStyle w:val="ListParagraph"/>
        <w:numPr>
          <w:ilvl w:val="0"/>
          <w:numId w:val="2"/>
        </w:numPr>
        <w:spacing w:after="60" w:before="60"/>
      </w:pPr>
      <w:r>
        <w:rPr>
          <w:rFonts w:ascii="Calibri" w:cs="Calibri" w:eastAsia="Calibri" w:hAnsi="Calibri"/>
          <w:b/>
          <w:bCs/>
          <w:color w:val="1a1a1a"/>
          <w:sz w:val="20"/>
          <w:szCs w:val="20"/>
        </w:rPr>
        <w:t xml:space="preserve">Personal information</w:t>
      </w:r>
      <w:r>
        <w:rPr>
          <w:rFonts w:ascii="Calibri" w:cs="Calibri" w:eastAsia="Calibri" w:hAnsi="Calibri"/>
          <w:b w:val="false"/>
          <w:bCs w:val="false"/>
          <w:color w:val="1a1a1a"/>
          <w:sz w:val="20"/>
          <w:szCs w:val="20"/>
        </w:rPr>
        <w:t xml:space="preserve"> — Date of birth, gender, ethnic origin, marital status, and disability status. Held for equality monitoring under the Equality Act 2010, visible to admins only.</w:t>
      </w:r>
    </w:p>
    <w:p>
      <w:pPr>
        <w:pStyle w:val="ListParagraph"/>
        <w:numPr>
          <w:ilvl w:val="0"/>
          <w:numId w:val="2"/>
        </w:numPr>
        <w:spacing w:after="60" w:before="60"/>
      </w:pPr>
      <w:r>
        <w:rPr>
          <w:rFonts w:ascii="Calibri" w:cs="Calibri" w:eastAsia="Calibri" w:hAnsi="Calibri"/>
          <w:b/>
          <w:bCs/>
          <w:color w:val="1a1a1a"/>
          <w:sz w:val="20"/>
          <w:szCs w:val="20"/>
        </w:rPr>
        <w:t xml:space="preserve">Emergency contact</w:t>
      </w:r>
      <w:r>
        <w:rPr>
          <w:rFonts w:ascii="Calibri" w:cs="Calibri" w:eastAsia="Calibri" w:hAnsi="Calibri"/>
          <w:b w:val="false"/>
          <w:bCs w:val="false"/>
          <w:color w:val="1a1a1a"/>
          <w:sz w:val="20"/>
          <w:szCs w:val="20"/>
        </w:rPr>
        <w:t xml:space="preserve"> — Next of kin name and emergency contact number stored against each staff record.</w:t>
      </w:r>
    </w:p>
    <w:p>
      <w:pPr>
        <w:spacing w:after="40" w:before="40"/>
      </w:pPr>
      <w:r>
        <w:t xml:space="preserve"/>
      </w:r>
    </w:p>
    <w:p>
      <w:pPr>
        <w:spacing w:after="80" w:before="200"/>
      </w:pPr>
      <w:r>
        <w:rPr>
          <w:rFonts w:ascii="Calibri" w:cs="Calibri" w:eastAsia="Calibri" w:hAnsi="Calibri"/>
          <w:b/>
          <w:bCs/>
          <w:color w:val="014D4E"/>
          <w:sz w:val="21"/>
          <w:szCs w:val="21"/>
        </w:rPr>
        <w:t xml:space="preserve">Compliance Tracking</w:t>
      </w:r>
    </w:p>
    <w:p>
      <w:pPr>
        <w:pStyle w:val="ListParagraph"/>
        <w:numPr>
          <w:ilvl w:val="0"/>
          <w:numId w:val="2"/>
        </w:numPr>
        <w:spacing w:after="60" w:before="60"/>
      </w:pPr>
      <w:r>
        <w:rPr>
          <w:rFonts w:ascii="Calibri" w:cs="Calibri" w:eastAsia="Calibri" w:hAnsi="Calibri"/>
          <w:b/>
          <w:bCs/>
          <w:color w:val="1a1a1a"/>
          <w:sz w:val="20"/>
          <w:szCs w:val="20"/>
        </w:rPr>
        <w:t xml:space="preserve">DBS checks</w:t>
      </w:r>
      <w:r>
        <w:rPr>
          <w:rFonts w:ascii="Calibri" w:cs="Calibri" w:eastAsia="Calibri" w:hAnsi="Calibri"/>
          <w:b w:val="false"/>
          <w:bCs w:val="false"/>
          <w:color w:val="1a1a1a"/>
          <w:sz w:val="20"/>
          <w:szCs w:val="20"/>
        </w:rPr>
        <w:t xml:space="preserve"> — Record the DBS check date, set the review frequency, and the system automatically calculates the next due date.</w:t>
      </w:r>
    </w:p>
    <w:p>
      <w:pPr>
        <w:pStyle w:val="ListParagraph"/>
        <w:numPr>
          <w:ilvl w:val="0"/>
          <w:numId w:val="2"/>
        </w:numPr>
        <w:spacing w:after="60" w:before="60"/>
      </w:pPr>
      <w:r>
        <w:rPr>
          <w:rFonts w:ascii="Calibri" w:cs="Calibri" w:eastAsia="Calibri" w:hAnsi="Calibri"/>
          <w:b/>
          <w:bCs/>
          <w:color w:val="1a1a1a"/>
          <w:sz w:val="20"/>
          <w:szCs w:val="20"/>
        </w:rPr>
        <w:t xml:space="preserve">Right to Work and References</w:t>
      </w:r>
      <w:r>
        <w:rPr>
          <w:rFonts w:ascii="Calibri" w:cs="Calibri" w:eastAsia="Calibri" w:hAnsi="Calibri"/>
          <w:b w:val="false"/>
          <w:bCs w:val="false"/>
          <w:color w:val="1a1a1a"/>
          <w:sz w:val="20"/>
          <w:szCs w:val="20"/>
        </w:rPr>
        <w:t xml:space="preserve"> — Simple confirmation that right to work has been verified and references obtained.</w:t>
      </w:r>
    </w:p>
    <w:p>
      <w:pPr>
        <w:pStyle w:val="ListParagraph"/>
        <w:numPr>
          <w:ilvl w:val="0"/>
          <w:numId w:val="2"/>
        </w:numPr>
        <w:spacing w:after="60" w:before="60"/>
      </w:pPr>
      <w:r>
        <w:rPr>
          <w:rFonts w:ascii="Calibri" w:cs="Calibri" w:eastAsia="Calibri" w:hAnsi="Calibri"/>
          <w:b/>
          <w:bCs/>
          <w:color w:val="1a1a1a"/>
          <w:sz w:val="20"/>
          <w:szCs w:val="20"/>
        </w:rPr>
        <w:t xml:space="preserve">Mandatory training flag</w:t>
      </w:r>
      <w:r>
        <w:rPr>
          <w:rFonts w:ascii="Calibri" w:cs="Calibri" w:eastAsia="Calibri" w:hAnsi="Calibri"/>
          <w:b w:val="false"/>
          <w:bCs w:val="false"/>
          <w:color w:val="1a1a1a"/>
          <w:sz w:val="20"/>
          <w:szCs w:val="20"/>
        </w:rPr>
        <w:t xml:space="preserve"> — Mark whether mandatory training has been completed for each staff member.</w:t>
      </w:r>
    </w:p>
    <w:p>
      <w:pPr>
        <w:spacing w:after="40" w:before="40"/>
      </w:pPr>
      <w:r>
        <w:t xml:space="preserve"/>
      </w:r>
    </w:p>
    <w:p>
      <w:pPr>
        <w:spacing w:after="80" w:before="200"/>
      </w:pPr>
      <w:r>
        <w:rPr>
          <w:rFonts w:ascii="Calibri" w:cs="Calibri" w:eastAsia="Calibri" w:hAnsi="Calibri"/>
          <w:b/>
          <w:bCs/>
          <w:color w:val="014D4E"/>
          <w:sz w:val="21"/>
          <w:szCs w:val="21"/>
        </w:rPr>
        <w:t xml:space="preserve">Supervision &amp; Appraisal</w:t>
      </w:r>
    </w:p>
    <w:p>
      <w:pPr>
        <w:pStyle w:val="ListParagraph"/>
        <w:numPr>
          <w:ilvl w:val="0"/>
          <w:numId w:val="2"/>
        </w:numPr>
        <w:spacing w:after="60" w:before="60"/>
      </w:pPr>
      <w:r>
        <w:rPr>
          <w:rFonts w:ascii="Calibri" w:cs="Calibri" w:eastAsia="Calibri" w:hAnsi="Calibri"/>
          <w:b/>
          <w:bCs/>
          <w:color w:val="1a1a1a"/>
          <w:sz w:val="20"/>
          <w:szCs w:val="20"/>
        </w:rPr>
        <w:t xml:space="preserve">Supervision records</w:t>
      </w:r>
      <w:r>
        <w:rPr>
          <w:rFonts w:ascii="Calibri" w:cs="Calibri" w:eastAsia="Calibri" w:hAnsi="Calibri"/>
          <w:b w:val="false"/>
          <w:bCs w:val="false"/>
          <w:color w:val="1a1a1a"/>
          <w:sz w:val="20"/>
          <w:szCs w:val="20"/>
        </w:rPr>
        <w:t xml:space="preserve"> — Last supervision date, frequency (monthly through to annual), and next due date — auto-calculated.</w:t>
      </w:r>
    </w:p>
    <w:p>
      <w:pPr>
        <w:pStyle w:val="ListParagraph"/>
        <w:numPr>
          <w:ilvl w:val="0"/>
          <w:numId w:val="2"/>
        </w:numPr>
        <w:spacing w:after="60" w:before="60"/>
      </w:pPr>
      <w:r>
        <w:rPr>
          <w:rFonts w:ascii="Calibri" w:cs="Calibri" w:eastAsia="Calibri" w:hAnsi="Calibri"/>
          <w:b/>
          <w:bCs/>
          <w:color w:val="1a1a1a"/>
          <w:sz w:val="20"/>
          <w:szCs w:val="20"/>
        </w:rPr>
        <w:t xml:space="preserve">Appraisal records</w:t>
      </w:r>
      <w:r>
        <w:rPr>
          <w:rFonts w:ascii="Calibri" w:cs="Calibri" w:eastAsia="Calibri" w:hAnsi="Calibri"/>
          <w:b w:val="false"/>
          <w:bCs w:val="false"/>
          <w:color w:val="1a1a1a"/>
          <w:sz w:val="20"/>
          <w:szCs w:val="20"/>
        </w:rPr>
        <w:t xml:space="preserve"> — Last appraisal date, frequency, next due date, and free-text appraisal notes.</w:t>
      </w:r>
    </w:p>
    <w:p>
      <w:pPr>
        <w:spacing w:after="40" w:before="40"/>
      </w:pPr>
      <w:r>
        <w:t xml:space="preserve"/>
      </w:r>
    </w:p>
    <w:p>
      <w:pPr>
        <w:spacing w:after="80" w:before="200"/>
      </w:pPr>
      <w:r>
        <w:rPr>
          <w:rFonts w:ascii="Calibri" w:cs="Calibri" w:eastAsia="Calibri" w:hAnsi="Calibri"/>
          <w:b/>
          <w:bCs/>
          <w:color w:val="014D4E"/>
          <w:sz w:val="21"/>
          <w:szCs w:val="21"/>
        </w:rPr>
        <w:t xml:space="preserve">Training Records</w:t>
      </w:r>
    </w:p>
    <w:p>
      <w:pPr>
        <w:pStyle w:val="ListParagraph"/>
        <w:numPr>
          <w:ilvl w:val="0"/>
          <w:numId w:val="2"/>
        </w:numPr>
        <w:spacing w:after="60" w:before="60"/>
      </w:pPr>
      <w:r>
        <w:rPr>
          <w:rFonts w:ascii="Calibri" w:cs="Calibri" w:eastAsia="Calibri" w:hAnsi="Calibri"/>
          <w:b/>
          <w:bCs/>
          <w:color w:val="1a1a1a"/>
          <w:sz w:val="20"/>
          <w:szCs w:val="20"/>
        </w:rPr>
        <w:t xml:space="preserve">Per-staff training records</w:t>
      </w:r>
      <w:r>
        <w:rPr>
          <w:rFonts w:ascii="Calibri" w:cs="Calibri" w:eastAsia="Calibri" w:hAnsi="Calibri"/>
          <w:b w:val="false"/>
          <w:bCs w:val="false"/>
          <w:color w:val="1a1a1a"/>
          <w:sz w:val="20"/>
          <w:szCs w:val="20"/>
        </w:rPr>
        <w:t xml:space="preserve"> — Training types are configured at organisation level. Each staff member’s completion date, frequency, and next due date are tracked individually. Default types include Manual Handling, Fire Safety, Safeguarding Adults and Children, Infection Prevention &amp; Control, and Food Hygiene.</w:t>
      </w:r>
    </w:p>
    <w:p>
      <w:pPr>
        <w:pStyle w:val="ListParagraph"/>
        <w:numPr>
          <w:ilvl w:val="0"/>
          <w:numId w:val="2"/>
        </w:numPr>
        <w:spacing w:after="60" w:before="60"/>
      </w:pPr>
      <w:r>
        <w:rPr>
          <w:rFonts w:ascii="Calibri" w:cs="Calibri" w:eastAsia="Calibri" w:hAnsi="Calibri"/>
          <w:b/>
          <w:bCs/>
          <w:color w:val="1a1a1a"/>
          <w:sz w:val="20"/>
          <w:szCs w:val="20"/>
        </w:rPr>
        <w:t xml:space="preserve">Traffic light status</w:t>
      </w:r>
      <w:r>
        <w:rPr>
          <w:rFonts w:ascii="Calibri" w:cs="Calibri" w:eastAsia="Calibri" w:hAnsi="Calibri"/>
          <w:b w:val="false"/>
          <w:bCs w:val="false"/>
          <w:color w:val="1a1a1a"/>
          <w:sz w:val="20"/>
          <w:szCs w:val="20"/>
        </w:rPr>
        <w:t xml:space="preserve"> — Each training record shows Current, Due Soon, Overdue, or Not Recorded at a glance.</w:t>
      </w:r>
    </w:p>
    <w:p>
      <w:pPr>
        <w:pStyle w:val="ListParagraph"/>
        <w:numPr>
          <w:ilvl w:val="0"/>
          <w:numId w:val="2"/>
        </w:numPr>
        <w:spacing w:after="60" w:before="60"/>
      </w:pPr>
      <w:r>
        <w:rPr>
          <w:rFonts w:ascii="Calibri" w:cs="Calibri" w:eastAsia="Calibri" w:hAnsi="Calibri"/>
          <w:b/>
          <w:bCs/>
          <w:color w:val="1a1a1a"/>
          <w:sz w:val="20"/>
          <w:szCs w:val="20"/>
        </w:rPr>
        <w:t xml:space="preserve">Certificate uploads</w:t>
      </w:r>
      <w:r>
        <w:rPr>
          <w:rFonts w:ascii="Calibri" w:cs="Calibri" w:eastAsia="Calibri" w:hAnsi="Calibri"/>
          <w:b w:val="false"/>
          <w:bCs w:val="false"/>
          <w:color w:val="1a1a1a"/>
          <w:sz w:val="20"/>
          <w:szCs w:val="20"/>
        </w:rPr>
        <w:t xml:space="preserve"> — Upload training certificates directly against each training record, stored securely.</w:t>
      </w:r>
    </w:p>
    <w:p>
      <w:pPr>
        <w:spacing w:after="40" w:before="40"/>
      </w:pPr>
      <w:r>
        <w:t xml:space="preserve"/>
      </w:r>
    </w:p>
    <w:p>
      <w:pPr>
        <w:spacing w:after="80" w:before="200"/>
      </w:pPr>
      <w:r>
        <w:rPr>
          <w:rFonts w:ascii="Calibri" w:cs="Calibri" w:eastAsia="Calibri" w:hAnsi="Calibri"/>
          <w:b/>
          <w:bCs/>
          <w:color w:val="014D4E"/>
          <w:sz w:val="21"/>
          <w:szCs w:val="21"/>
        </w:rPr>
        <w:t xml:space="preserve">Holiday &amp; Leave Allowance</w:t>
      </w:r>
    </w:p>
    <w:p>
      <w:pPr>
        <w:pStyle w:val="ListParagraph"/>
        <w:numPr>
          <w:ilvl w:val="0"/>
          <w:numId w:val="2"/>
        </w:numPr>
        <w:spacing w:after="60" w:before="60"/>
      </w:pPr>
      <w:r>
        <w:rPr>
          <w:rFonts w:ascii="Calibri" w:cs="Calibri" w:eastAsia="Calibri" w:hAnsi="Calibri"/>
          <w:b/>
          <w:bCs/>
          <w:color w:val="1a1a1a"/>
          <w:sz w:val="20"/>
          <w:szCs w:val="20"/>
        </w:rPr>
        <w:t xml:space="preserve">Annual leave tracking</w:t>
      </w:r>
      <w:r>
        <w:rPr>
          <w:rFonts w:ascii="Calibri" w:cs="Calibri" w:eastAsia="Calibri" w:hAnsi="Calibri"/>
          <w:b w:val="false"/>
          <w:bCs w:val="false"/>
          <w:color w:val="1a1a1a"/>
          <w:sz w:val="20"/>
          <w:szCs w:val="20"/>
        </w:rPr>
        <w:t xml:space="preserve"> — Set each staff member’s leave year start date, total entitlement, carry-over, and days taken. The remaining balance is calculated and displayed with a visual progress bar.</w:t>
      </w:r>
    </w:p>
    <w:p>
      <w:pPr>
        <w:pStyle w:val="ListParagraph"/>
        <w:numPr>
          <w:ilvl w:val="0"/>
          <w:numId w:val="2"/>
        </w:numPr>
        <w:spacing w:after="60" w:before="60"/>
      </w:pPr>
      <w:r>
        <w:rPr>
          <w:rFonts w:ascii="Calibri" w:cs="Calibri" w:eastAsia="Calibri" w:hAnsi="Calibri"/>
          <w:b/>
          <w:bCs/>
          <w:color w:val="1a1a1a"/>
          <w:sz w:val="20"/>
          <w:szCs w:val="20"/>
        </w:rPr>
        <w:t xml:space="preserve">Multiple leave years</w:t>
      </w:r>
      <w:r>
        <w:rPr>
          <w:rFonts w:ascii="Calibri" w:cs="Calibri" w:eastAsia="Calibri" w:hAnsi="Calibri"/>
          <w:b w:val="false"/>
          <w:bCs w:val="false"/>
          <w:color w:val="1a1a1a"/>
          <w:sz w:val="20"/>
          <w:szCs w:val="20"/>
        </w:rPr>
        <w:t xml:space="preserve"> — Previous leave years are retained and displayed for a full leave history.</w:t>
      </w:r>
    </w:p>
    <w:p>
      <w:pPr>
        <w:pStyle w:val="ListParagraph"/>
        <w:numPr>
          <w:ilvl w:val="0"/>
          <w:numId w:val="2"/>
        </w:numPr>
        <w:spacing w:after="60" w:before="60"/>
      </w:pPr>
      <w:r>
        <w:rPr>
          <w:rFonts w:ascii="Calibri" w:cs="Calibri" w:eastAsia="Calibri" w:hAnsi="Calibri"/>
          <w:b/>
          <w:bCs/>
          <w:color w:val="1a1a1a"/>
          <w:sz w:val="20"/>
          <w:szCs w:val="20"/>
        </w:rPr>
        <w:t xml:space="preserve">Days or hours</w:t>
      </w:r>
      <w:r>
        <w:rPr>
          <w:rFonts w:ascii="Calibri" w:cs="Calibri" w:eastAsia="Calibri" w:hAnsi="Calibri"/>
          <w:b w:val="false"/>
          <w:bCs w:val="false"/>
          <w:color w:val="1a1a1a"/>
          <w:sz w:val="20"/>
          <w:szCs w:val="20"/>
        </w:rPr>
        <w:t xml:space="preserve"> — Holiday allowances can be tracked in days or hours, configurable at organisation level.</w:t>
      </w:r>
    </w:p>
    <w:p>
      <w:pPr>
        <w:spacing w:after="40" w:before="40"/>
      </w:pPr>
      <w:r>
        <w:t xml:space="preserve"/>
      </w:r>
    </w:p>
    <w:p>
      <w:pPr>
        <w:spacing w:after="80" w:before="200"/>
      </w:pPr>
      <w:r>
        <w:rPr>
          <w:rFonts w:ascii="Calibri" w:cs="Calibri" w:eastAsia="Calibri" w:hAnsi="Calibri"/>
          <w:b/>
          <w:bCs/>
          <w:color w:val="014D4E"/>
          <w:sz w:val="21"/>
          <w:szCs w:val="21"/>
        </w:rPr>
        <w:t xml:space="preserve">Absence Records</w:t>
      </w:r>
    </w:p>
    <w:p>
      <w:pPr>
        <w:pStyle w:val="ListParagraph"/>
        <w:numPr>
          <w:ilvl w:val="0"/>
          <w:numId w:val="2"/>
        </w:numPr>
        <w:spacing w:after="60" w:before="60"/>
      </w:pPr>
      <w:r>
        <w:rPr>
          <w:rFonts w:ascii="Calibri" w:cs="Calibri" w:eastAsia="Calibri" w:hAnsi="Calibri"/>
          <w:b/>
          <w:bCs/>
          <w:color w:val="1a1a1a"/>
          <w:sz w:val="20"/>
          <w:szCs w:val="20"/>
        </w:rPr>
        <w:t xml:space="preserve">Absence episode recording</w:t>
      </w:r>
      <w:r>
        <w:rPr>
          <w:rFonts w:ascii="Calibri" w:cs="Calibri" w:eastAsia="Calibri" w:hAnsi="Calibri"/>
          <w:b w:val="false"/>
          <w:bCs w:val="false"/>
          <w:color w:val="1a1a1a"/>
          <w:sz w:val="20"/>
          <w:szCs w:val="20"/>
        </w:rPr>
        <w:t xml:space="preserve"> — Log each absence individually with start date, end date, days absent (auto-calculated, manually editable), reason category, and notes. Sick leave and other absence types are recorded separately.</w:t>
      </w:r>
    </w:p>
    <w:p>
      <w:pPr>
        <w:pStyle w:val="ListParagraph"/>
        <w:numPr>
          <w:ilvl w:val="0"/>
          <w:numId w:val="2"/>
        </w:numPr>
        <w:spacing w:after="60" w:before="60"/>
      </w:pPr>
      <w:r>
        <w:rPr>
          <w:rFonts w:ascii="Calibri" w:cs="Calibri" w:eastAsia="Calibri" w:hAnsi="Calibri"/>
          <w:b/>
          <w:bCs/>
          <w:color w:val="1a1a1a"/>
          <w:sz w:val="20"/>
          <w:szCs w:val="20"/>
        </w:rPr>
        <w:t xml:space="preserve">Reason categories</w:t>
      </w:r>
      <w:r>
        <w:rPr>
          <w:rFonts w:ascii="Calibri" w:cs="Calibri" w:eastAsia="Calibri" w:hAnsi="Calibri"/>
          <w:b w:val="false"/>
          <w:bCs w:val="false"/>
          <w:color w:val="1a1a1a"/>
          <w:sz w:val="20"/>
          <w:szCs w:val="20"/>
        </w:rPr>
        <w:t xml:space="preserve"> — Select from: Musculoskeletal, Respiratory/Cold/Flu, Mental Health and Stress, Gastrointestinal, Injury, or Other. Enables pattern identification across the team over time.</w:t>
      </w:r>
    </w:p>
    <w:p>
      <w:pPr>
        <w:pStyle w:val="ListParagraph"/>
        <w:numPr>
          <w:ilvl w:val="0"/>
          <w:numId w:val="2"/>
        </w:numPr>
        <w:spacing w:after="60" w:before="60"/>
      </w:pPr>
      <w:r>
        <w:rPr>
          <w:rFonts w:ascii="Calibri" w:cs="Calibri" w:eastAsia="Calibri" w:hAnsi="Calibri"/>
          <w:b/>
          <w:bCs/>
          <w:color w:val="1a1a1a"/>
          <w:sz w:val="20"/>
          <w:szCs w:val="20"/>
        </w:rPr>
        <w:t xml:space="preserve">Bradford Factor, calculated automatically</w:t>
      </w:r>
      <w:r>
        <w:rPr>
          <w:rFonts w:ascii="Calibri" w:cs="Calibri" w:eastAsia="Calibri" w:hAnsi="Calibri"/>
          <w:b w:val="false"/>
          <w:bCs w:val="false"/>
          <w:color w:val="1a1a1a"/>
          <w:sz w:val="20"/>
          <w:szCs w:val="20"/>
        </w:rPr>
        <w:t xml:space="preserve"> — S² × D formula applied to each staff member’s rolling 52-week absence history. Displayed as Low, Medium, or High risk band. No manual calculation needed.</w:t>
      </w:r>
    </w:p>
    <w:p>
      <w:pPr>
        <w:pStyle w:val="ListParagraph"/>
        <w:numPr>
          <w:ilvl w:val="0"/>
          <w:numId w:val="2"/>
        </w:numPr>
        <w:spacing w:after="60" w:before="60"/>
      </w:pPr>
      <w:r>
        <w:rPr>
          <w:rFonts w:ascii="Calibri" w:cs="Calibri" w:eastAsia="Calibri" w:hAnsi="Calibri"/>
          <w:b/>
          <w:bCs/>
          <w:color w:val="1a1a1a"/>
          <w:sz w:val="20"/>
          <w:szCs w:val="20"/>
        </w:rPr>
        <w:t xml:space="preserve">Return-to-work interview tracking</w:t>
      </w:r>
      <w:r>
        <w:rPr>
          <w:rFonts w:ascii="Calibri" w:cs="Calibri" w:eastAsia="Calibri" w:hAnsi="Calibri"/>
          <w:b w:val="false"/>
          <w:bCs w:val="false"/>
          <w:color w:val="1a1a1a"/>
          <w:sz w:val="20"/>
          <w:szCs w:val="20"/>
        </w:rPr>
        <w:t xml:space="preserve"> — Record whether a return-to-work interview was completed, the date it took place, and any notes. A CQC inspection point under Safe and Well-led.</w:t>
      </w:r>
    </w:p>
    <w:p>
      <w:pPr>
        <w:pStyle w:val="ListParagraph"/>
        <w:numPr>
          <w:ilvl w:val="0"/>
          <w:numId w:val="2"/>
        </w:numPr>
        <w:spacing w:after="60" w:before="60"/>
      </w:pPr>
      <w:r>
        <w:rPr>
          <w:rFonts w:ascii="Calibri" w:cs="Calibri" w:eastAsia="Calibri" w:hAnsi="Calibri"/>
          <w:b/>
          <w:bCs/>
          <w:color w:val="1a1a1a"/>
          <w:sz w:val="20"/>
          <w:szCs w:val="20"/>
        </w:rPr>
        <w:t xml:space="preserve">Year-to-date sick days</w:t>
      </w:r>
      <w:r>
        <w:rPr>
          <w:rFonts w:ascii="Calibri" w:cs="Calibri" w:eastAsia="Calibri" w:hAnsi="Calibri"/>
          <w:b w:val="false"/>
          <w:bCs w:val="false"/>
          <w:color w:val="1a1a1a"/>
          <w:sz w:val="20"/>
          <w:szCs w:val="20"/>
        </w:rPr>
        <w:t xml:space="preserve"> — Total sick days in the current leave year shown per staff member, calculated automatically from logged absence episodes.</w:t>
      </w:r>
    </w:p>
    <w:p>
      <w:pPr>
        <w:pStyle w:val="ListParagraph"/>
        <w:numPr>
          <w:ilvl w:val="0"/>
          <w:numId w:val="2"/>
        </w:numPr>
        <w:spacing w:after="60" w:before="60"/>
      </w:pPr>
      <w:r>
        <w:rPr>
          <w:rFonts w:ascii="Calibri" w:cs="Calibri" w:eastAsia="Calibri" w:hAnsi="Calibri"/>
          <w:b/>
          <w:bCs/>
          <w:color w:val="1a1a1a"/>
          <w:sz w:val="20"/>
          <w:szCs w:val="20"/>
        </w:rPr>
        <w:t xml:space="preserve">Admin-only access</w:t>
      </w:r>
      <w:r>
        <w:rPr>
          <w:rFonts w:ascii="Calibri" w:cs="Calibri" w:eastAsia="Calibri" w:hAnsi="Calibri"/>
          <w:b w:val="false"/>
          <w:bCs w:val="false"/>
          <w:color w:val="1a1a1a"/>
          <w:sz w:val="20"/>
          <w:szCs w:val="20"/>
        </w:rPr>
        <w:t xml:space="preserve"> — Absence records are visible to Admin users only, consistent with all other HR data.</w:t>
      </w:r>
    </w:p>
    <w:p>
      <w:pPr>
        <w:spacing w:after="40" w:before="40"/>
      </w:pPr>
      <w:r>
        <w:t xml:space="preserve"/>
      </w:r>
    </w:p>
    <w:p>
      <w:pPr>
        <w:spacing w:after="80" w:before="200"/>
      </w:pPr>
      <w:r>
        <w:rPr>
          <w:rFonts w:ascii="Calibri" w:cs="Calibri" w:eastAsia="Calibri" w:hAnsi="Calibri"/>
          <w:b/>
          <w:bCs/>
          <w:color w:val="014D4E"/>
          <w:sz w:val="21"/>
          <w:szCs w:val="21"/>
        </w:rPr>
        <w:t xml:space="preserve">HR Overview Dashboard</w:t>
      </w:r>
    </w:p>
    <w:p>
      <w:pPr>
        <w:pStyle w:val="ListParagraph"/>
        <w:numPr>
          <w:ilvl w:val="0"/>
          <w:numId w:val="2"/>
        </w:numPr>
        <w:spacing w:after="60" w:before="60"/>
      </w:pPr>
      <w:r>
        <w:rPr>
          <w:rFonts w:ascii="Calibri" w:cs="Calibri" w:eastAsia="Calibri" w:hAnsi="Calibri"/>
          <w:b/>
          <w:bCs/>
          <w:color w:val="1a1a1a"/>
          <w:sz w:val="20"/>
          <w:szCs w:val="20"/>
        </w:rPr>
        <w:t xml:space="preserve">Team compliance at a glance</w:t>
      </w:r>
      <w:r>
        <w:rPr>
          <w:rFonts w:ascii="Calibri" w:cs="Calibri" w:eastAsia="Calibri" w:hAnsi="Calibri"/>
          <w:b w:val="false"/>
          <w:bCs w:val="false"/>
          <w:color w:val="1a1a1a"/>
          <w:sz w:val="20"/>
          <w:szCs w:val="20"/>
        </w:rPr>
        <w:t xml:space="preserve"> — The HR overview page shows all staff with colour-coded status badges for DBS, Supervision, Appraisal, and Training — so you can see at a glance who needs attention.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8. Team Management</w:t>
      </w:r>
    </w:p>
    <w:p>
      <w:pPr>
        <w:pStyle w:val="ListParagraph"/>
        <w:numPr>
          <w:ilvl w:val="0"/>
          <w:numId w:val="2"/>
        </w:numPr>
        <w:spacing w:after="60" w:before="60"/>
      </w:pPr>
      <w:r>
        <w:rPr>
          <w:rFonts w:ascii="Calibri" w:cs="Calibri" w:eastAsia="Calibri" w:hAnsi="Calibri"/>
          <w:b/>
          <w:bCs/>
          <w:color w:val="1a1a1a"/>
          <w:sz w:val="20"/>
          <w:szCs w:val="20"/>
        </w:rPr>
        <w:t xml:space="preserve">Role-based access control</w:t>
      </w:r>
      <w:r>
        <w:rPr>
          <w:rFonts w:ascii="Calibri" w:cs="Calibri" w:eastAsia="Calibri" w:hAnsi="Calibri"/>
          <w:b w:val="false"/>
          <w:bCs w:val="false"/>
          <w:color w:val="1a1a1a"/>
          <w:sz w:val="20"/>
          <w:szCs w:val="20"/>
        </w:rPr>
        <w:t xml:space="preserve"> — Three roles: Admin (full access), Staff (can update assigned KLOEs), and Viewer (read-only).</w:t>
      </w:r>
    </w:p>
    <w:p>
      <w:pPr>
        <w:pStyle w:val="ListParagraph"/>
        <w:numPr>
          <w:ilvl w:val="0"/>
          <w:numId w:val="2"/>
        </w:numPr>
        <w:spacing w:after="60" w:before="60"/>
      </w:pPr>
      <w:r>
        <w:rPr>
          <w:rFonts w:ascii="Calibri" w:cs="Calibri" w:eastAsia="Calibri" w:hAnsi="Calibri"/>
          <w:b/>
          <w:bCs/>
          <w:color w:val="1a1a1a"/>
          <w:sz w:val="20"/>
          <w:szCs w:val="20"/>
        </w:rPr>
        <w:t xml:space="preserve">KLOE assignment</w:t>
      </w:r>
      <w:r>
        <w:rPr>
          <w:rFonts w:ascii="Calibri" w:cs="Calibri" w:eastAsia="Calibri" w:hAnsi="Calibri"/>
          <w:b w:val="false"/>
          <w:bCs w:val="false"/>
          <w:color w:val="1a1a1a"/>
          <w:sz w:val="20"/>
          <w:szCs w:val="20"/>
        </w:rPr>
        <w:t xml:space="preserve"> — Assign individual KLOEs to specific team members. Staff can only update the KLOEs assigned to them.</w:t>
      </w:r>
    </w:p>
    <w:p>
      <w:pPr>
        <w:pStyle w:val="ListParagraph"/>
        <w:numPr>
          <w:ilvl w:val="0"/>
          <w:numId w:val="2"/>
        </w:numPr>
        <w:spacing w:after="60" w:before="60"/>
      </w:pPr>
      <w:r>
        <w:rPr>
          <w:rFonts w:ascii="Calibri" w:cs="Calibri" w:eastAsia="Calibri" w:hAnsi="Calibri"/>
          <w:b/>
          <w:bCs/>
          <w:color w:val="1a1a1a"/>
          <w:sz w:val="20"/>
          <w:szCs w:val="20"/>
        </w:rPr>
        <w:t xml:space="preserve">Visitor (read-only) logins</w:t>
      </w:r>
      <w:r>
        <w:rPr>
          <w:rFonts w:ascii="Calibri" w:cs="Calibri" w:eastAsia="Calibri" w:hAnsi="Calibri"/>
          <w:b w:val="false"/>
          <w:bCs w:val="false"/>
          <w:color w:val="1a1a1a"/>
          <w:sz w:val="20"/>
          <w:szCs w:val="20"/>
        </w:rPr>
        <w:t xml:space="preserve"> — Create temporary read-only logins for inspectors, trustees, or external reviewers with a set expiry date.</w:t>
      </w:r>
    </w:p>
    <w:p>
      <w:pPr>
        <w:pStyle w:val="ListParagraph"/>
        <w:numPr>
          <w:ilvl w:val="0"/>
          <w:numId w:val="2"/>
        </w:numPr>
        <w:spacing w:after="60" w:before="60"/>
      </w:pPr>
      <w:r>
        <w:rPr>
          <w:rFonts w:ascii="Calibri" w:cs="Calibri" w:eastAsia="Calibri" w:hAnsi="Calibri"/>
          <w:b/>
          <w:bCs/>
          <w:color w:val="1a1a1a"/>
          <w:sz w:val="20"/>
          <w:szCs w:val="20"/>
        </w:rPr>
        <w:t xml:space="preserve">Team member profiles</w:t>
      </w:r>
      <w:r>
        <w:rPr>
          <w:rFonts w:ascii="Calibri" w:cs="Calibri" w:eastAsia="Calibri" w:hAnsi="Calibri"/>
          <w:b w:val="false"/>
          <w:bCs w:val="false"/>
          <w:color w:val="1a1a1a"/>
          <w:sz w:val="20"/>
          <w:szCs w:val="20"/>
        </w:rPr>
        <w:t xml:space="preserve"> — Store each team member’s username, personal email, and mobile number.</w:t>
      </w:r>
    </w:p>
    <w:p>
      <w:pPr>
        <w:pStyle w:val="ListParagraph"/>
        <w:numPr>
          <w:ilvl w:val="0"/>
          <w:numId w:val="2"/>
        </w:numPr>
        <w:spacing w:after="60" w:before="60"/>
      </w:pPr>
      <w:r>
        <w:rPr>
          <w:rFonts w:ascii="Calibri" w:cs="Calibri" w:eastAsia="Calibri" w:hAnsi="Calibri"/>
          <w:b/>
          <w:bCs/>
          <w:color w:val="1a1a1a"/>
          <w:sz w:val="20"/>
          <w:szCs w:val="20"/>
        </w:rPr>
        <w:t xml:space="preserve">Username-based login</w:t>
      </w:r>
      <w:r>
        <w:rPr>
          <w:rFonts w:ascii="Calibri" w:cs="Calibri" w:eastAsia="Calibri" w:hAnsi="Calibri"/>
          <w:b w:val="false"/>
          <w:bCs w:val="false"/>
          <w:color w:val="1a1a1a"/>
          <w:sz w:val="20"/>
          <w:szCs w:val="20"/>
        </w:rPr>
        <w:t xml:space="preserve"> — Staff log in with a username (not their email address), keeping personal email addresses private.</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9. Security</w:t>
      </w:r>
    </w:p>
    <w:p>
      <w:pPr>
        <w:pStyle w:val="ListParagraph"/>
        <w:numPr>
          <w:ilvl w:val="0"/>
          <w:numId w:val="2"/>
        </w:numPr>
        <w:spacing w:after="60" w:before="60"/>
      </w:pPr>
      <w:r>
        <w:rPr>
          <w:rFonts w:ascii="Calibri" w:cs="Calibri" w:eastAsia="Calibri" w:hAnsi="Calibri"/>
          <w:b/>
          <w:bCs/>
          <w:color w:val="1a1a1a"/>
          <w:sz w:val="20"/>
          <w:szCs w:val="20"/>
        </w:rPr>
        <w:t xml:space="preserve">Multi-factor authentication (MFA)</w:t>
      </w:r>
      <w:r>
        <w:rPr>
          <w:rFonts w:ascii="Calibri" w:cs="Calibri" w:eastAsia="Calibri" w:hAnsi="Calibri"/>
          <w:b w:val="false"/>
          <w:bCs w:val="false"/>
          <w:color w:val="1a1a1a"/>
          <w:sz w:val="20"/>
          <w:szCs w:val="20"/>
        </w:rPr>
        <w:t xml:space="preserve"> — Enable two-factor authentication using any TOTP authenticator app (Google Authenticator, Authy, Microsoft Authenticator, etc.). A one-time code is required at every login in addition to the password.</w:t>
      </w:r>
    </w:p>
    <w:p>
      <w:pPr>
        <w:pStyle w:val="ListParagraph"/>
        <w:numPr>
          <w:ilvl w:val="0"/>
          <w:numId w:val="2"/>
        </w:numPr>
        <w:spacing w:after="60" w:before="60"/>
      </w:pPr>
      <w:r>
        <w:rPr>
          <w:rFonts w:ascii="Calibri" w:cs="Calibri" w:eastAsia="Calibri" w:hAnsi="Calibri"/>
          <w:b/>
          <w:bCs/>
          <w:color w:val="1a1a1a"/>
          <w:sz w:val="20"/>
          <w:szCs w:val="20"/>
        </w:rPr>
        <w:t xml:space="preserve">Automatic session timeout</w:t>
      </w:r>
      <w:r>
        <w:rPr>
          <w:rFonts w:ascii="Calibri" w:cs="Calibri" w:eastAsia="Calibri" w:hAnsi="Calibri"/>
          <w:b w:val="false"/>
          <w:bCs w:val="false"/>
          <w:color w:val="1a1a1a"/>
          <w:sz w:val="20"/>
          <w:szCs w:val="20"/>
        </w:rPr>
        <w:t xml:space="preserve"> — Users are automatically logged out after 15 minutes of inactivity. A warning appears one minute before logout with the option to stay logged in.</w:t>
      </w:r>
    </w:p>
    <w:p>
      <w:pPr>
        <w:pStyle w:val="ListParagraph"/>
        <w:numPr>
          <w:ilvl w:val="0"/>
          <w:numId w:val="2"/>
        </w:numPr>
        <w:spacing w:after="60" w:before="60"/>
      </w:pPr>
      <w:r>
        <w:rPr>
          <w:rFonts w:ascii="Calibri" w:cs="Calibri" w:eastAsia="Calibri" w:hAnsi="Calibri"/>
          <w:b/>
          <w:bCs/>
          <w:color w:val="1a1a1a"/>
          <w:sz w:val="20"/>
          <w:szCs w:val="20"/>
        </w:rPr>
        <w:t xml:space="preserve">Password change with email notification</w:t>
      </w:r>
      <w:r>
        <w:rPr>
          <w:rFonts w:ascii="Calibri" w:cs="Calibri" w:eastAsia="Calibri" w:hAnsi="Calibri"/>
          <w:b w:val="false"/>
          <w:bCs w:val="false"/>
          <w:color w:val="1a1a1a"/>
          <w:sz w:val="20"/>
          <w:szCs w:val="20"/>
        </w:rPr>
        <w:t xml:space="preserve"> — An email is sent immediately when a team member’s password is changed. If they didn’t make the change, they’re prompted to act.</w:t>
      </w:r>
    </w:p>
    <w:p>
      <w:pPr>
        <w:pStyle w:val="ListParagraph"/>
        <w:numPr>
          <w:ilvl w:val="0"/>
          <w:numId w:val="2"/>
        </w:numPr>
        <w:spacing w:after="60" w:before="60"/>
      </w:pPr>
      <w:r>
        <w:rPr>
          <w:rFonts w:ascii="Calibri" w:cs="Calibri" w:eastAsia="Calibri" w:hAnsi="Calibri"/>
          <w:b/>
          <w:bCs/>
          <w:color w:val="1a1a1a"/>
          <w:sz w:val="20"/>
          <w:szCs w:val="20"/>
        </w:rPr>
        <w:t xml:space="preserve">Self-service password reset</w:t>
      </w:r>
      <w:r>
        <w:rPr>
          <w:rFonts w:ascii="Calibri" w:cs="Calibri" w:eastAsia="Calibri" w:hAnsi="Calibri"/>
          <w:b w:val="false"/>
          <w:bCs w:val="false"/>
          <w:color w:val="1a1a1a"/>
          <w:sz w:val="20"/>
          <w:szCs w:val="20"/>
        </w:rPr>
        <w:t xml:space="preserve"> — Any user can reset their own password from the login page without needing admin help.</w:t>
      </w:r>
    </w:p>
    <w:p>
      <w:pPr>
        <w:pStyle w:val="ListParagraph"/>
        <w:numPr>
          <w:ilvl w:val="0"/>
          <w:numId w:val="2"/>
        </w:numPr>
        <w:spacing w:after="60" w:before="60"/>
      </w:pPr>
      <w:r>
        <w:rPr>
          <w:rFonts w:ascii="Calibri" w:cs="Calibri" w:eastAsia="Calibri" w:hAnsi="Calibri"/>
          <w:b/>
          <w:bCs/>
          <w:color w:val="1a1a1a"/>
          <w:sz w:val="20"/>
          <w:szCs w:val="20"/>
        </w:rPr>
        <w:t xml:space="preserve">Encrypted data at rest and in transit</w:t>
      </w:r>
      <w:r>
        <w:rPr>
          <w:rFonts w:ascii="Calibri" w:cs="Calibri" w:eastAsia="Calibri" w:hAnsi="Calibri"/>
          <w:b w:val="false"/>
          <w:bCs w:val="false"/>
          <w:color w:val="1a1a1a"/>
          <w:sz w:val="20"/>
          <w:szCs w:val="20"/>
        </w:rPr>
        <w:t xml:space="preserve"> — All data is encrypted in transit (TLS) and at rest. Files are stored in encrypted cloud storage, never accessible via public links.</w:t>
      </w:r>
    </w:p>
    <w:p>
      <w:pPr>
        <w:pStyle w:val="ListParagraph"/>
        <w:numPr>
          <w:ilvl w:val="0"/>
          <w:numId w:val="2"/>
        </w:numPr>
        <w:spacing w:after="60" w:before="60"/>
      </w:pPr>
      <w:r>
        <w:rPr>
          <w:rFonts w:ascii="Calibri" w:cs="Calibri" w:eastAsia="Calibri" w:hAnsi="Calibri"/>
          <w:b/>
          <w:bCs/>
          <w:color w:val="1a1a1a"/>
          <w:sz w:val="20"/>
          <w:szCs w:val="20"/>
        </w:rPr>
        <w:t xml:space="preserve">Row-level security</w:t>
      </w:r>
      <w:r>
        <w:rPr>
          <w:rFonts w:ascii="Calibri" w:cs="Calibri" w:eastAsia="Calibri" w:hAnsi="Calibri"/>
          <w:b w:val="false"/>
          <w:bCs w:val="false"/>
          <w:color w:val="1a1a1a"/>
          <w:sz w:val="20"/>
          <w:szCs w:val="20"/>
        </w:rPr>
        <w:t xml:space="preserve"> — Database-level access controls ensure each organisation’s data is completely isolated.</w:t>
      </w:r>
    </w:p>
    <w:p>
      <w:pPr>
        <w:pStyle w:val="ListParagraph"/>
        <w:numPr>
          <w:ilvl w:val="0"/>
          <w:numId w:val="2"/>
        </w:numPr>
        <w:spacing w:after="60" w:before="60"/>
      </w:pPr>
      <w:r>
        <w:rPr>
          <w:rFonts w:ascii="Calibri" w:cs="Calibri" w:eastAsia="Calibri" w:hAnsi="Calibri"/>
          <w:b/>
          <w:bCs/>
          <w:color w:val="1a1a1a"/>
          <w:sz w:val="20"/>
          <w:szCs w:val="20"/>
        </w:rPr>
        <w:t xml:space="preserve">No direct browser-to-storage uploads</w:t>
      </w:r>
      <w:r>
        <w:rPr>
          <w:rFonts w:ascii="Calibri" w:cs="Calibri" w:eastAsia="Calibri" w:hAnsi="Calibri"/>
          <w:b w:val="false"/>
          <w:bCs w:val="false"/>
          <w:color w:val="1a1a1a"/>
          <w:sz w:val="20"/>
          <w:szCs w:val="20"/>
        </w:rPr>
        <w:t xml:space="preserve"> — All file uploads are routed through our secure server — every file is validated and scanned before it is saved.</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10. Notifications &amp; Email</w:t>
      </w:r>
    </w:p>
    <w:p>
      <w:pPr>
        <w:pStyle w:val="ListParagraph"/>
        <w:numPr>
          <w:ilvl w:val="0"/>
          <w:numId w:val="2"/>
        </w:numPr>
        <w:spacing w:after="60" w:before="60"/>
      </w:pPr>
      <w:r>
        <w:rPr>
          <w:rFonts w:ascii="Calibri" w:cs="Calibri" w:eastAsia="Calibri" w:hAnsi="Calibri"/>
          <w:b/>
          <w:bCs/>
          <w:color w:val="1a1a1a"/>
          <w:sz w:val="20"/>
          <w:szCs w:val="20"/>
        </w:rPr>
        <w:t xml:space="preserve">Support ticket auto-responder</w:t>
      </w:r>
      <w:r>
        <w:rPr>
          <w:rFonts w:ascii="Calibri" w:cs="Calibri" w:eastAsia="Calibri" w:hAnsi="Calibri"/>
          <w:b w:val="false"/>
          <w:bCs w:val="false"/>
          <w:color w:val="1a1a1a"/>
          <w:sz w:val="20"/>
          <w:szCs w:val="20"/>
        </w:rPr>
        <w:t xml:space="preserve"> — When a user raises a support ticket, they immediately receive a confirmation email with their ticket reference number.</w:t>
      </w:r>
    </w:p>
    <w:p>
      <w:pPr>
        <w:pStyle w:val="ListParagraph"/>
        <w:numPr>
          <w:ilvl w:val="0"/>
          <w:numId w:val="2"/>
        </w:numPr>
        <w:spacing w:after="60" w:before="60"/>
      </w:pPr>
      <w:r>
        <w:rPr>
          <w:rFonts w:ascii="Calibri" w:cs="Calibri" w:eastAsia="Calibri" w:hAnsi="Calibri"/>
          <w:b/>
          <w:bCs/>
          <w:color w:val="1a1a1a"/>
          <w:sz w:val="20"/>
          <w:szCs w:val="20"/>
        </w:rPr>
        <w:t xml:space="preserve">Ticket resolved notification</w:t>
      </w:r>
      <w:r>
        <w:rPr>
          <w:rFonts w:ascii="Calibri" w:cs="Calibri" w:eastAsia="Calibri" w:hAnsi="Calibri"/>
          <w:b w:val="false"/>
          <w:bCs w:val="false"/>
          <w:color w:val="1a1a1a"/>
          <w:sz w:val="20"/>
          <w:szCs w:val="20"/>
        </w:rPr>
        <w:t xml:space="preserve"> — When a ticket is marked as resolved, the submitter receives an email confirming it has been closed.</w:t>
      </w:r>
    </w:p>
    <w:p>
      <w:pPr>
        <w:pStyle w:val="ListParagraph"/>
        <w:numPr>
          <w:ilvl w:val="0"/>
          <w:numId w:val="2"/>
        </w:numPr>
        <w:spacing w:after="60" w:before="60"/>
      </w:pPr>
      <w:r>
        <w:rPr>
          <w:rFonts w:ascii="Calibri" w:cs="Calibri" w:eastAsia="Calibri" w:hAnsi="Calibri"/>
          <w:b/>
          <w:bCs/>
          <w:color w:val="1a1a1a"/>
          <w:sz w:val="20"/>
          <w:szCs w:val="20"/>
        </w:rPr>
        <w:t xml:space="preserve">Password change alert</w:t>
      </w:r>
      <w:r>
        <w:rPr>
          <w:rFonts w:ascii="Calibri" w:cs="Calibri" w:eastAsia="Calibri" w:hAnsi="Calibri"/>
          <w:b w:val="false"/>
          <w:bCs w:val="false"/>
          <w:color w:val="1a1a1a"/>
          <w:sz w:val="20"/>
          <w:szCs w:val="20"/>
        </w:rPr>
        <w:t xml:space="preserve"> — An automatic email is sent whenever a team member’s password is changed.</w:t>
      </w:r>
    </w:p>
    <w:p>
      <w:pPr>
        <w:pStyle w:val="ListParagraph"/>
        <w:numPr>
          <w:ilvl w:val="0"/>
          <w:numId w:val="2"/>
        </w:numPr>
        <w:spacing w:after="60" w:before="60"/>
      </w:pPr>
      <w:r>
        <w:rPr>
          <w:rFonts w:ascii="Calibri" w:cs="Calibri" w:eastAsia="Calibri" w:hAnsi="Calibri"/>
          <w:b/>
          <w:bCs/>
          <w:color w:val="1a1a1a"/>
          <w:sz w:val="20"/>
          <w:szCs w:val="20"/>
        </w:rPr>
        <w:t xml:space="preserve">Marketing opt-out</w:t>
      </w:r>
      <w:r>
        <w:rPr>
          <w:rFonts w:ascii="Calibri" w:cs="Calibri" w:eastAsia="Calibri" w:hAnsi="Calibri"/>
          <w:b w:val="false"/>
          <w:bCs w:val="false"/>
          <w:color w:val="1a1a1a"/>
          <w:sz w:val="20"/>
          <w:szCs w:val="20"/>
        </w:rPr>
        <w:t xml:space="preserve"> — All marketing and onboarding emails include a one-click unsubscribe link. Transactional emails (security alerts, ticket notifications) are always delivered regardless.</w:t>
      </w:r>
    </w:p>
    <w:p>
      <w:pPr>
        <w:pStyle w:val="ListParagraph"/>
        <w:numPr>
          <w:ilvl w:val="0"/>
          <w:numId w:val="2"/>
        </w:numPr>
        <w:spacing w:after="60" w:before="60"/>
      </w:pPr>
      <w:r>
        <w:rPr>
          <w:rFonts w:ascii="Calibri" w:cs="Calibri" w:eastAsia="Calibri" w:hAnsi="Calibri"/>
          <w:b/>
          <w:bCs/>
          <w:color w:val="1a1a1a"/>
          <w:sz w:val="20"/>
          <w:szCs w:val="20"/>
        </w:rPr>
        <w:t xml:space="preserve">Transactional vs marketing separation</w:t>
      </w:r>
      <w:r>
        <w:rPr>
          <w:rFonts w:ascii="Calibri" w:cs="Calibri" w:eastAsia="Calibri" w:hAnsi="Calibri"/>
          <w:b w:val="false"/>
          <w:bCs w:val="false"/>
          <w:color w:val="1a1a1a"/>
          <w:sz w:val="20"/>
          <w:szCs w:val="20"/>
        </w:rPr>
        <w:t xml:space="preserve"> — The platform enforces a strict separation between transactional and marketing emails at the infrastructure level.</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11. Support &amp; Onboarding</w:t>
      </w:r>
    </w:p>
    <w:p>
      <w:pPr>
        <w:pStyle w:val="ListParagraph"/>
        <w:numPr>
          <w:ilvl w:val="0"/>
          <w:numId w:val="2"/>
        </w:numPr>
        <w:spacing w:after="60" w:before="60"/>
      </w:pPr>
      <w:r>
        <w:rPr>
          <w:rFonts w:ascii="Calibri" w:cs="Calibri" w:eastAsia="Calibri" w:hAnsi="Calibri"/>
          <w:b/>
          <w:bCs/>
          <w:color w:val="1a1a1a"/>
          <w:sz w:val="20"/>
          <w:szCs w:val="20"/>
        </w:rPr>
        <w:t xml:space="preserve">In-platform help documentation</w:t>
      </w:r>
      <w:r>
        <w:rPr>
          <w:rFonts w:ascii="Calibri" w:cs="Calibri" w:eastAsia="Calibri" w:hAnsi="Calibri"/>
          <w:b w:val="false"/>
          <w:bCs w:val="false"/>
          <w:color w:val="1a1a1a"/>
          <w:sz w:val="20"/>
          <w:szCs w:val="20"/>
        </w:rPr>
        <w:t xml:space="preserve"> — A full, role-specific help section is built directly into the platform. Admins, staff, and viewers each see guidance written for their role.</w:t>
      </w:r>
    </w:p>
    <w:p>
      <w:pPr>
        <w:pStyle w:val="ListParagraph"/>
        <w:numPr>
          <w:ilvl w:val="0"/>
          <w:numId w:val="2"/>
        </w:numPr>
        <w:spacing w:after="60" w:before="60"/>
      </w:pPr>
      <w:r>
        <w:rPr>
          <w:rFonts w:ascii="Calibri" w:cs="Calibri" w:eastAsia="Calibri" w:hAnsi="Calibri"/>
          <w:b/>
          <w:bCs/>
          <w:color w:val="1a1a1a"/>
          <w:sz w:val="20"/>
          <w:szCs w:val="20"/>
        </w:rPr>
        <w:t xml:space="preserve">Support ticket system</w:t>
      </w:r>
      <w:r>
        <w:rPr>
          <w:rFonts w:ascii="Calibri" w:cs="Calibri" w:eastAsia="Calibri" w:hAnsi="Calibri"/>
          <w:b w:val="false"/>
          <w:bCs w:val="false"/>
          <w:color w:val="1a1a1a"/>
          <w:sz w:val="20"/>
          <w:szCs w:val="20"/>
        </w:rPr>
        <w:t xml:space="preserve"> — Raise a support ticket from inside the platform. Replies are delivered in-platform and by email.</w:t>
      </w:r>
    </w:p>
    <w:p>
      <w:pPr>
        <w:pStyle w:val="ListParagraph"/>
        <w:numPr>
          <w:ilvl w:val="0"/>
          <w:numId w:val="2"/>
        </w:numPr>
        <w:spacing w:after="60" w:before="60"/>
      </w:pPr>
      <w:r>
        <w:rPr>
          <w:rFonts w:ascii="Calibri" w:cs="Calibri" w:eastAsia="Calibri" w:hAnsi="Calibri"/>
          <w:b/>
          <w:bCs/>
          <w:color w:val="1a1a1a"/>
          <w:sz w:val="20"/>
          <w:szCs w:val="20"/>
        </w:rPr>
        <w:t xml:space="preserve">Welcome and onboarding screen</w:t>
      </w:r>
      <w:r>
        <w:rPr>
          <w:rFonts w:ascii="Calibri" w:cs="Calibri" w:eastAsia="Calibri" w:hAnsi="Calibri"/>
          <w:b w:val="false"/>
          <w:bCs w:val="false"/>
          <w:color w:val="1a1a1a"/>
          <w:sz w:val="20"/>
          <w:szCs w:val="20"/>
        </w:rPr>
        <w:t xml:space="preserve"> — New organisations see a guided welcome screen walking them through their first steps.</w:t>
      </w:r>
    </w:p>
    <w:p>
      <w:pPr>
        <w:pStyle w:val="ListParagraph"/>
        <w:numPr>
          <w:ilvl w:val="0"/>
          <w:numId w:val="2"/>
        </w:numPr>
        <w:spacing w:after="60" w:before="60"/>
      </w:pPr>
      <w:r>
        <w:rPr>
          <w:rFonts w:ascii="Calibri" w:cs="Calibri" w:eastAsia="Calibri" w:hAnsi="Calibri"/>
          <w:b/>
          <w:bCs/>
          <w:color w:val="1a1a1a"/>
          <w:sz w:val="20"/>
          <w:szCs w:val="20"/>
        </w:rPr>
        <w:t xml:space="preserve">Interactive demo</w:t>
      </w:r>
      <w:r>
        <w:rPr>
          <w:rFonts w:ascii="Calibri" w:cs="Calibri" w:eastAsia="Calibri" w:hAnsi="Calibri"/>
          <w:b w:val="false"/>
          <w:bCs w:val="false"/>
          <w:color w:val="1a1a1a"/>
          <w:sz w:val="20"/>
          <w:szCs w:val="20"/>
        </w:rPr>
        <w:t xml:space="preserve"> — Prospective customers can explore a fully functional demo environment pre-loaded with realistic KLOE data. The demo resets automatically every night.</w:t>
      </w:r>
    </w:p>
    <w:p>
      <w:pPr>
        <w:pStyle w:val="ListParagraph"/>
        <w:numPr>
          <w:ilvl w:val="0"/>
          <w:numId w:val="2"/>
        </w:numPr>
        <w:spacing w:after="60" w:before="60"/>
      </w:pPr>
      <w:r>
        <w:rPr>
          <w:rFonts w:ascii="Calibri" w:cs="Calibri" w:eastAsia="Calibri" w:hAnsi="Calibri"/>
          <w:b/>
          <w:bCs/>
          <w:color w:val="1a1a1a"/>
          <w:sz w:val="20"/>
          <w:szCs w:val="20"/>
        </w:rPr>
        <w:t xml:space="preserve">Self-service trial signup</w:t>
      </w:r>
      <w:r>
        <w:rPr>
          <w:rFonts w:ascii="Calibri" w:cs="Calibri" w:eastAsia="Calibri" w:hAnsi="Calibri"/>
          <w:b w:val="false"/>
          <w:bCs w:val="false"/>
          <w:color w:val="1a1a1a"/>
          <w:sz w:val="20"/>
          <w:szCs w:val="20"/>
        </w:rPr>
        <w:t xml:space="preserve"> — New organisations can sign up and start a free trial directly from the website, without needing to contact the AlwaysReady team. The account is provisioned instantly.</w:t>
      </w:r>
    </w:p>
    <w:p>
      <w:pPr>
        <w:pStyle w:val="ListParagraph"/>
        <w:numPr>
          <w:ilvl w:val="0"/>
          <w:numId w:val="2"/>
        </w:numPr>
        <w:spacing w:after="60" w:before="60"/>
      </w:pPr>
      <w:r>
        <w:rPr>
          <w:rFonts w:ascii="Calibri" w:cs="Calibri" w:eastAsia="Calibri" w:hAnsi="Calibri"/>
          <w:b/>
          <w:bCs/>
          <w:color w:val="1a1a1a"/>
          <w:sz w:val="20"/>
          <w:szCs w:val="20"/>
        </w:rPr>
        <w:t xml:space="preserve">Trial period</w:t>
      </w:r>
      <w:r>
        <w:rPr>
          <w:rFonts w:ascii="Calibri" w:cs="Calibri" w:eastAsia="Calibri" w:hAnsi="Calibri"/>
          <w:b w:val="false"/>
          <w:bCs w:val="false"/>
          <w:color w:val="1a1a1a"/>
          <w:sz w:val="20"/>
          <w:szCs w:val="20"/>
        </w:rPr>
        <w:t xml:space="preserve"> — New organisations start on a free trial with full access to all features. A clear banner shows how many days remain.</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12. Mobile &amp; Accessibility</w:t>
      </w:r>
    </w:p>
    <w:p>
      <w:pPr>
        <w:pStyle w:val="ListParagraph"/>
        <w:numPr>
          <w:ilvl w:val="0"/>
          <w:numId w:val="2"/>
        </w:numPr>
        <w:spacing w:after="60" w:before="60"/>
      </w:pPr>
      <w:r>
        <w:rPr>
          <w:rFonts w:ascii="Calibri" w:cs="Calibri" w:eastAsia="Calibri" w:hAnsi="Calibri"/>
          <w:b/>
          <w:bCs/>
          <w:color w:val="1a1a1a"/>
          <w:sz w:val="20"/>
          <w:szCs w:val="20"/>
        </w:rPr>
        <w:t xml:space="preserve">Mobile-responsive navigation</w:t>
      </w:r>
      <w:r>
        <w:rPr>
          <w:rFonts w:ascii="Calibri" w:cs="Calibri" w:eastAsia="Calibri" w:hAnsi="Calibri"/>
          <w:b w:val="false"/>
          <w:bCs w:val="false"/>
          <w:color w:val="1a1a1a"/>
          <w:sz w:val="20"/>
          <w:szCs w:val="20"/>
        </w:rPr>
        <w:t xml:space="preserve"> — On mobile and tablet devices, the full navigation is available via a hamburger menu — designed for staff checking their tasks on a phone.</w:t>
      </w:r>
    </w:p>
    <w:p>
      <w:pPr>
        <w:pStyle w:val="ListParagraph"/>
        <w:numPr>
          <w:ilvl w:val="0"/>
          <w:numId w:val="2"/>
        </w:numPr>
        <w:spacing w:after="60" w:before="60"/>
      </w:pPr>
      <w:r>
        <w:rPr>
          <w:rFonts w:ascii="Calibri" w:cs="Calibri" w:eastAsia="Calibri" w:hAnsi="Calibri"/>
          <w:b/>
          <w:bCs/>
          <w:color w:val="1a1a1a"/>
          <w:sz w:val="20"/>
          <w:szCs w:val="20"/>
        </w:rPr>
        <w:t xml:space="preserve">Responsive forms</w:t>
      </w:r>
      <w:r>
        <w:rPr>
          <w:rFonts w:ascii="Calibri" w:cs="Calibri" w:eastAsia="Calibri" w:hAnsi="Calibri"/>
          <w:b w:val="false"/>
          <w:bCs w:val="false"/>
          <w:color w:val="1a1a1a"/>
          <w:sz w:val="20"/>
          <w:szCs w:val="20"/>
        </w:rPr>
        <w:t xml:space="preserve"> — All forms — HR records, KLOE updates, support tickets — adapt to single-column layouts on small screens.</w:t>
      </w:r>
    </w:p>
    <w:p>
      <w:pPr>
        <w:pStyle w:val="ListParagraph"/>
        <w:numPr>
          <w:ilvl w:val="0"/>
          <w:numId w:val="2"/>
        </w:numPr>
        <w:spacing w:after="60" w:before="60"/>
      </w:pPr>
      <w:r>
        <w:rPr>
          <w:rFonts w:ascii="Calibri" w:cs="Calibri" w:eastAsia="Calibri" w:hAnsi="Calibri"/>
          <w:b/>
          <w:bCs/>
          <w:color w:val="1a1a1a"/>
          <w:sz w:val="20"/>
          <w:szCs w:val="20"/>
        </w:rPr>
        <w:t xml:space="preserve">Horizontally scrollable tables</w:t>
      </w:r>
      <w:r>
        <w:rPr>
          <w:rFonts w:ascii="Calibri" w:cs="Calibri" w:eastAsia="Calibri" w:hAnsi="Calibri"/>
          <w:b w:val="false"/>
          <w:bCs w:val="false"/>
          <w:color w:val="1a1a1a"/>
          <w:sz w:val="20"/>
          <w:szCs w:val="20"/>
        </w:rPr>
        <w:t xml:space="preserve"> — Wide data tables scroll horizontally on small screens rather than overflowing.</w:t>
      </w:r>
    </w:p>
    <w:p>
      <w:pPr>
        <w:pStyle w:val="ListParagraph"/>
        <w:numPr>
          <w:ilvl w:val="0"/>
          <w:numId w:val="2"/>
        </w:numPr>
        <w:spacing w:after="60" w:before="60"/>
      </w:pPr>
      <w:r>
        <w:rPr>
          <w:rFonts w:ascii="Calibri" w:cs="Calibri" w:eastAsia="Calibri" w:hAnsi="Calibri"/>
          <w:b/>
          <w:bCs/>
          <w:color w:val="1a1a1a"/>
          <w:sz w:val="20"/>
          <w:szCs w:val="20"/>
        </w:rPr>
        <w:t xml:space="preserve">Lighthouse scores</w:t>
      </w:r>
      <w:r>
        <w:rPr>
          <w:rFonts w:ascii="Calibri" w:cs="Calibri" w:eastAsia="Calibri" w:hAnsi="Calibri"/>
          <w:b w:val="false"/>
          <w:bCs w:val="false"/>
          <w:color w:val="1a1a1a"/>
          <w:sz w:val="20"/>
          <w:szCs w:val="20"/>
        </w:rPr>
        <w:t xml:space="preserve"> — 99 Performance / 100 Accessibility / 100 Best Practices / 100 SEO on Google Lighthouse audit.</w:t>
      </w:r>
    </w:p>
    <w:p>
      <w:pPr>
        <w:spacing w:after="40" w:before="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13. Data &amp; Compliance</w:t>
      </w:r>
    </w:p>
    <w:p>
      <w:pPr>
        <w:pStyle w:val="ListParagraph"/>
        <w:numPr>
          <w:ilvl w:val="0"/>
          <w:numId w:val="2"/>
        </w:numPr>
        <w:spacing w:after="60" w:before="60"/>
      </w:pPr>
      <w:r>
        <w:rPr>
          <w:rFonts w:ascii="Calibri" w:cs="Calibri" w:eastAsia="Calibri" w:hAnsi="Calibri"/>
          <w:b/>
          <w:bCs/>
          <w:color w:val="1a1a1a"/>
          <w:sz w:val="20"/>
          <w:szCs w:val="20"/>
        </w:rPr>
        <w:t xml:space="preserve">Data security statement</w:t>
      </w:r>
      <w:r>
        <w:rPr>
          <w:rFonts w:ascii="Calibri" w:cs="Calibri" w:eastAsia="Calibri" w:hAnsi="Calibri"/>
          <w:b w:val="false"/>
          <w:bCs w:val="false"/>
          <w:color w:val="1a1a1a"/>
          <w:sz w:val="20"/>
          <w:szCs w:val="20"/>
        </w:rPr>
        <w:t xml:space="preserve"> — A plain-English statement explaining how AlwaysReady protects your data — available to share with your board, trustees, or inspectors.</w:t>
      </w:r>
    </w:p>
    <w:p>
      <w:pPr>
        <w:pStyle w:val="ListParagraph"/>
        <w:numPr>
          <w:ilvl w:val="0"/>
          <w:numId w:val="2"/>
        </w:numPr>
        <w:spacing w:after="60" w:before="60"/>
      </w:pPr>
      <w:r>
        <w:rPr>
          <w:rFonts w:ascii="Calibri" w:cs="Calibri" w:eastAsia="Calibri" w:hAnsi="Calibri"/>
          <w:b/>
          <w:bCs/>
          <w:color w:val="1a1a1a"/>
          <w:sz w:val="20"/>
          <w:szCs w:val="20"/>
        </w:rPr>
        <w:t xml:space="preserve">Data retention policy</w:t>
      </w:r>
      <w:r>
        <w:rPr>
          <w:rFonts w:ascii="Calibri" w:cs="Calibri" w:eastAsia="Calibri" w:hAnsi="Calibri"/>
          <w:b w:val="false"/>
          <w:bCs w:val="false"/>
          <w:color w:val="1a1a1a"/>
          <w:sz w:val="20"/>
          <w:szCs w:val="20"/>
        </w:rPr>
        <w:t xml:space="preserve"> — A clear, documented policy on how long data is held and how it can be deleted. Designed to support GDPR compliance.</w:t>
      </w:r>
    </w:p>
    <w:p>
      <w:pPr>
        <w:pStyle w:val="ListParagraph"/>
        <w:numPr>
          <w:ilvl w:val="0"/>
          <w:numId w:val="2"/>
        </w:numPr>
        <w:spacing w:after="60" w:before="60"/>
      </w:pPr>
      <w:r>
        <w:rPr>
          <w:rFonts w:ascii="Calibri" w:cs="Calibri" w:eastAsia="Calibri" w:hAnsi="Calibri"/>
          <w:b/>
          <w:bCs/>
          <w:color w:val="1a1a1a"/>
          <w:sz w:val="20"/>
          <w:szCs w:val="20"/>
        </w:rPr>
        <w:t xml:space="preserve">GDPR-aligned architecture</w:t>
      </w:r>
      <w:r>
        <w:rPr>
          <w:rFonts w:ascii="Calibri" w:cs="Calibri" w:eastAsia="Calibri" w:hAnsi="Calibri"/>
          <w:b w:val="false"/>
          <w:bCs w:val="false"/>
          <w:color w:val="1a1a1a"/>
          <w:sz w:val="20"/>
          <w:szCs w:val="20"/>
        </w:rPr>
        <w:t xml:space="preserve"> — Data minimisation, access control, and auditability are core principles. A Data Processing Agreement is available.</w:t>
      </w:r>
    </w:p>
    <w:p>
      <w:pPr>
        <w:pStyle w:val="ListParagraph"/>
        <w:numPr>
          <w:ilvl w:val="0"/>
          <w:numId w:val="2"/>
        </w:numPr>
        <w:spacing w:after="60" w:before="60"/>
      </w:pPr>
      <w:r>
        <w:rPr>
          <w:rFonts w:ascii="Calibri" w:cs="Calibri" w:eastAsia="Calibri" w:hAnsi="Calibri"/>
          <w:b/>
          <w:bCs/>
          <w:color w:val="1a1a1a"/>
          <w:sz w:val="20"/>
          <w:szCs w:val="20"/>
        </w:rPr>
        <w:t xml:space="preserve">Governance-only scope</w:t>
      </w:r>
      <w:r>
        <w:rPr>
          <w:rFonts w:ascii="Calibri" w:cs="Calibri" w:eastAsia="Calibri" w:hAnsi="Calibri"/>
          <w:b w:val="false"/>
          <w:bCs w:val="false"/>
          <w:color w:val="1a1a1a"/>
          <w:sz w:val="20"/>
          <w:szCs w:val="20"/>
        </w:rPr>
        <w:t xml:space="preserve"> — AlwaysReady is explicitly a governance tool — it never stores clinical records, care plans, or resident personal data.</w:t>
      </w:r>
    </w:p>
    <w:p>
      <w:pPr>
        <w:spacing w:after="40" w:before="40"/>
      </w:pPr>
      <w:r>
        <w:t xml:space="preserve"/>
      </w:r>
    </w:p>
    <w:p>
      <w:pPr>
        <w:pBdr>
          <w:bottom w:val="single" w:color="00b8a6" w:sz="6" w:space="1"/>
        </w:pBdr>
        <w:spacing w:after="160" w:before="240"/>
      </w:pPr>
      <w:r>
        <w:t xml:space="preserve"/>
      </w:r>
    </w:p>
    <w:p>
      <w:pPr>
        <w:pStyle w:val="Heading1"/>
        <w:pBdr>
          <w:bottom w:val="single" w:color="00b8a6" w:sz="6" w:space="4"/>
        </w:pBdr>
        <w:spacing w:after="120" w:before="360"/>
      </w:pPr>
      <w:r>
        <w:rPr>
          <w:rFonts w:ascii="Calibri" w:cs="Calibri" w:eastAsia="Calibri" w:hAnsi="Calibri"/>
          <w:b/>
          <w:bCs/>
          <w:color w:val="014D4E"/>
          <w:sz w:val="26"/>
          <w:szCs w:val="26"/>
        </w:rPr>
        <w:t xml:space="preserve">14. Newsletter Drafting</w:t>
      </w:r>
    </w:p>
    <w:p>
      <w:pPr>
        <w:pStyle w:val="ListParagraph"/>
        <w:numPr>
          <w:ilvl w:val="0"/>
          <w:numId w:val="2"/>
        </w:numPr>
        <w:spacing w:after="60" w:before="60"/>
      </w:pPr>
      <w:r>
        <w:rPr>
          <w:rFonts w:ascii="Calibri" w:cs="Calibri" w:eastAsia="Calibri" w:hAnsi="Calibri"/>
          <w:b/>
          <w:bCs/>
          <w:color w:val="1a1a1a"/>
          <w:sz w:val="20"/>
          <w:szCs w:val="20"/>
        </w:rPr>
        <w:t xml:space="preserve">AI-powered draft generation</w:t>
      </w:r>
      <w:r>
        <w:rPr>
          <w:rFonts w:ascii="Calibri" w:cs="Calibri" w:eastAsia="Calibri" w:hAnsi="Calibri"/>
          <w:b w:val="false"/>
          <w:bCs w:val="false"/>
          <w:color w:val="1a1a1a"/>
          <w:sz w:val="20"/>
          <w:szCs w:val="20"/>
        </w:rPr>
        <w:t xml:space="preserve"> — Tell the platform who the newsletter is for, choose a topic or occasion, add any key points, and pick a tone. AlwaysReady generates a ready-to-use draft in seconds.</w:t>
      </w:r>
    </w:p>
    <w:p>
      <w:pPr>
        <w:pStyle w:val="ListParagraph"/>
        <w:numPr>
          <w:ilvl w:val="0"/>
          <w:numId w:val="2"/>
        </w:numPr>
        <w:spacing w:after="60" w:before="60"/>
      </w:pPr>
      <w:r>
        <w:rPr>
          <w:rFonts w:ascii="Calibri" w:cs="Calibri" w:eastAsia="Calibri" w:hAnsi="Calibri"/>
          <w:b/>
          <w:bCs/>
          <w:color w:val="1a1a1a"/>
          <w:sz w:val="20"/>
          <w:szCs w:val="20"/>
        </w:rPr>
        <w:t xml:space="preserve">Three audience options</w:t>
      </w:r>
      <w:r>
        <w:rPr>
          <w:rFonts w:ascii="Calibri" w:cs="Calibri" w:eastAsia="Calibri" w:hAnsi="Calibri"/>
          <w:b w:val="false"/>
          <w:bCs w:val="false"/>
          <w:color w:val="1a1a1a"/>
          <w:sz w:val="20"/>
          <w:szCs w:val="20"/>
        </w:rPr>
        <w:t xml:space="preserve"> — Draft newsletters for your staff team, for families and residents, or for both at once. The opening salutation and tone adjust automatically to match.</w:t>
      </w:r>
    </w:p>
    <w:p>
      <w:pPr>
        <w:pStyle w:val="ListParagraph"/>
        <w:numPr>
          <w:ilvl w:val="0"/>
          <w:numId w:val="2"/>
        </w:numPr>
        <w:spacing w:after="60" w:before="60"/>
      </w:pPr>
      <w:r>
        <w:rPr>
          <w:rFonts w:ascii="Calibri" w:cs="Calibri" w:eastAsia="Calibri" w:hAnsi="Calibri"/>
          <w:b/>
          <w:bCs/>
          <w:color w:val="1a1a1a"/>
          <w:sz w:val="20"/>
          <w:szCs w:val="20"/>
        </w:rPr>
        <w:t xml:space="preserve">Common care home occasions built in</w:t>
      </w:r>
      <w:r>
        <w:rPr>
          <w:rFonts w:ascii="Calibri" w:cs="Calibri" w:eastAsia="Calibri" w:hAnsi="Calibri"/>
          <w:b w:val="false"/>
          <w:bCs w:val="false"/>
          <w:color w:val="1a1a1a"/>
          <w:sz w:val="20"/>
          <w:szCs w:val="20"/>
        </w:rPr>
        <w:t xml:space="preserve"> — Monthly update, upcoming CQC inspection, policy change, seasonal message, staff recognition, CQC rating update, new staff members, and service changes are all pre-loaded as topic options.</w:t>
      </w:r>
    </w:p>
    <w:p>
      <w:pPr>
        <w:pStyle w:val="ListParagraph"/>
        <w:numPr>
          <w:ilvl w:val="0"/>
          <w:numId w:val="2"/>
        </w:numPr>
        <w:spacing w:after="60" w:before="60"/>
      </w:pPr>
      <w:r>
        <w:rPr>
          <w:rFonts w:ascii="Calibri" w:cs="Calibri" w:eastAsia="Calibri" w:hAnsi="Calibri"/>
          <w:b/>
          <w:bCs/>
          <w:color w:val="1a1a1a"/>
          <w:sz w:val="20"/>
          <w:szCs w:val="20"/>
        </w:rPr>
        <w:t xml:space="preserve">Tone selector</w:t>
      </w:r>
      <w:r>
        <w:rPr>
          <w:rFonts w:ascii="Calibri" w:cs="Calibri" w:eastAsia="Calibri" w:hAnsi="Calibri"/>
          <w:b w:val="false"/>
          <w:bCs w:val="false"/>
          <w:color w:val="1a1a1a"/>
          <w:sz w:val="20"/>
          <w:szCs w:val="20"/>
        </w:rPr>
        <w:t xml:space="preserve"> — Choose from Warm and friendly, Professional, or Brief and factual. The writing style adjusts to match your preference and your audience.</w:t>
      </w:r>
    </w:p>
    <w:p>
      <w:pPr>
        <w:pStyle w:val="ListParagraph"/>
        <w:numPr>
          <w:ilvl w:val="0"/>
          <w:numId w:val="2"/>
        </w:numPr>
        <w:spacing w:after="60" w:before="60"/>
      </w:pPr>
      <w:r>
        <w:rPr>
          <w:rFonts w:ascii="Calibri" w:cs="Calibri" w:eastAsia="Calibri" w:hAnsi="Calibri"/>
          <w:b/>
          <w:bCs/>
          <w:color w:val="1a1a1a"/>
          <w:sz w:val="20"/>
          <w:szCs w:val="20"/>
        </w:rPr>
        <w:t xml:space="preserve">Key points you supply, copy that reads naturally</w:t>
      </w:r>
      <w:r>
        <w:rPr>
          <w:rFonts w:ascii="Calibri" w:cs="Calibri" w:eastAsia="Calibri" w:hAnsi="Calibri"/>
          <w:b w:val="false"/>
          <w:bCs w:val="false"/>
          <w:color w:val="1a1a1a"/>
          <w:sz w:val="20"/>
          <w:szCs w:val="20"/>
        </w:rPr>
        <w:t xml:space="preserve"> — Add bullet points or a few lines of notes — dates, names, announcements — and the AI weaves them into a coherent, well-written newsletter. No writing skills needed.</w:t>
      </w:r>
    </w:p>
    <w:p>
      <w:pPr>
        <w:pStyle w:val="ListParagraph"/>
        <w:numPr>
          <w:ilvl w:val="0"/>
          <w:numId w:val="2"/>
        </w:numPr>
        <w:spacing w:after="60" w:before="60"/>
      </w:pPr>
      <w:r>
        <w:rPr>
          <w:rFonts w:ascii="Calibri" w:cs="Calibri" w:eastAsia="Calibri" w:hAnsi="Calibri"/>
          <w:b/>
          <w:bCs/>
          <w:color w:val="1a1a1a"/>
          <w:sz w:val="20"/>
          <w:szCs w:val="20"/>
        </w:rPr>
        <w:t xml:space="preserve">One-click copy</w:t>
      </w:r>
      <w:r>
        <w:rPr>
          <w:rFonts w:ascii="Calibri" w:cs="Calibri" w:eastAsia="Calibri" w:hAnsi="Calibri"/>
          <w:b w:val="false"/>
          <w:bCs w:val="false"/>
          <w:color w:val="1a1a1a"/>
          <w:sz w:val="20"/>
          <w:szCs w:val="20"/>
        </w:rPr>
        <w:t xml:space="preserve"> — Copy the finished draft to your clipboard and paste it directly into your email, WhatsApp message, printed notice, or whatever channel you use to communicate.</w:t>
      </w:r>
    </w:p>
    <w:p>
      <w:pPr>
        <w:pStyle w:val="ListParagraph"/>
        <w:numPr>
          <w:ilvl w:val="0"/>
          <w:numId w:val="2"/>
        </w:numPr>
        <w:spacing w:after="60" w:before="60"/>
      </w:pPr>
      <w:r>
        <w:rPr>
          <w:rFonts w:ascii="Calibri" w:cs="Calibri" w:eastAsia="Calibri" w:hAnsi="Calibri"/>
          <w:b/>
          <w:bCs/>
          <w:color w:val="1a1a1a"/>
          <w:sz w:val="20"/>
          <w:szCs w:val="20"/>
        </w:rPr>
        <w:t xml:space="preserve">AlwaysReady never sends on your behalf</w:t>
      </w:r>
      <w:r>
        <w:rPr>
          <w:rFonts w:ascii="Calibri" w:cs="Calibri" w:eastAsia="Calibri" w:hAnsi="Calibri"/>
          <w:b w:val="false"/>
          <w:bCs w:val="false"/>
          <w:color w:val="1a1a1a"/>
          <w:sz w:val="20"/>
          <w:szCs w:val="20"/>
        </w:rPr>
        <w:t xml:space="preserve"> — This is a drafting tool, not an email platform. You keep full control over what goes out and how.</w:t>
      </w:r>
    </w:p>
    <w:p>
      <w:pPr>
        <w:pStyle w:val="ListParagraph"/>
        <w:numPr>
          <w:ilvl w:val="0"/>
          <w:numId w:val="2"/>
        </w:numPr>
        <w:spacing w:after="60" w:before="60"/>
      </w:pPr>
      <w:r>
        <w:rPr>
          <w:rFonts w:ascii="Calibri" w:cs="Calibri" w:eastAsia="Calibri" w:hAnsi="Calibri"/>
          <w:b/>
          <w:bCs/>
          <w:color w:val="1a1a1a"/>
          <w:sz w:val="20"/>
          <w:szCs w:val="20"/>
        </w:rPr>
        <w:t xml:space="preserve">Monthly usage limit</w:t>
      </w:r>
      <w:r>
        <w:rPr>
          <w:rFonts w:ascii="Calibri" w:cs="Calibri" w:eastAsia="Calibri" w:hAnsi="Calibri"/>
          <w:b w:val="false"/>
          <w:bCs w:val="false"/>
          <w:color w:val="1a1a1a"/>
          <w:sz w:val="20"/>
          <w:szCs w:val="20"/>
        </w:rPr>
        <w:t xml:space="preserve"> — Each organisation can generate up to 10 newsletter drafts per calendar month, keeping costs predictable and the feature sustainable.</w:t>
      </w:r>
    </w:p>
    <w:p>
      <w:pPr>
        <w:pStyle w:val="ListParagraph"/>
        <w:numPr>
          <w:ilvl w:val="0"/>
          <w:numId w:val="2"/>
        </w:numPr>
        <w:spacing w:after="60" w:before="60"/>
      </w:pPr>
      <w:r>
        <w:rPr>
          <w:rFonts w:ascii="Calibri" w:cs="Calibri" w:eastAsia="Calibri" w:hAnsi="Calibri"/>
          <w:b/>
          <w:bCs/>
          <w:color w:val="1a1a1a"/>
          <w:sz w:val="20"/>
          <w:szCs w:val="20"/>
        </w:rPr>
        <w:t xml:space="preserve">Admin access only</w:t>
      </w:r>
      <w:r>
        <w:rPr>
          <w:rFonts w:ascii="Calibri" w:cs="Calibri" w:eastAsia="Calibri" w:hAnsi="Calibri"/>
          <w:b w:val="false"/>
          <w:bCs w:val="false"/>
          <w:color w:val="1a1a1a"/>
          <w:sz w:val="20"/>
          <w:szCs w:val="20"/>
        </w:rPr>
        <w:t xml:space="preserve"> — Newsletter drafting is available to organisation admins. Staff and viewer logins do not have access.</w:t>
      </w:r>
    </w:p>
    <w:p>
      <w:pPr>
        <w:pStyle w:val="Heading2"/>
      </w:pPr>
      <w:r>
        <w:t>15. Mock Inspections</w:t>
      </w:r>
    </w:p>
    <w:p>
      <w:pPr>
        <w:pStyle w:val="Normal"/>
      </w:pPr>
      <w:r>
        <w:rPr>
          <w:i/>
          <w:iCs/>
        </w:rPr>
        <w:t>A self-assessment tool that steps care managers through their KLOEs in the same structure a CQC inspector would use. Produces a prioritised action plan. For guidance only — does not represent the view of CQC.</w:t>
      </w:r>
    </w:p>
    <w:p>
      <w:pPr>
        <w:pStyle w:val="ListParagraph"/>
        <w:numPr>
          <w:ilvl w:val="0"/>
          <w:numId w:val="1"/>
        </w:numPr>
      </w:pPr>
      <w:r>
        <w:rPr>
          <w:b/>
          <w:bCs/>
        </w:rPr>
        <w:t xml:space="preserve">Full or partial inspection — </w:t>
      </w:r>
      <w:r>
        <w:t>Run a full mock inspection covering all five key questions, or a focused partial inspection on one key question — matching how CQC conducts focused inspections for providers rated Good or above.</w:t>
      </w:r>
    </w:p>
    <w:p>
      <w:pPr>
        <w:pStyle w:val="ListParagraph"/>
        <w:numPr>
          <w:ilvl w:val="0"/>
          <w:numId w:val="1"/>
        </w:numPr>
      </w:pPr>
      <w:r>
        <w:rPr>
          <w:b/>
          <w:bCs/>
        </w:rPr>
        <w:t xml:space="preserve">Steps through every KLOE and I statement — </w:t>
      </w:r>
      <w:r>
        <w:t>Rate each I statement as Met, Partial, or Not Met. Add notes. Then give each KLOE an overall rating: Outstanding, Good, Requires Improvement, or Inadequate.</w:t>
      </w:r>
    </w:p>
    <w:p>
      <w:pPr>
        <w:pStyle w:val="ListParagraph"/>
        <w:numPr>
          <w:ilvl w:val="0"/>
          <w:numId w:val="1"/>
        </w:numPr>
      </w:pPr>
      <w:r>
        <w:rPr>
          <w:b/>
          <w:bCs/>
        </w:rPr>
        <w:t xml:space="preserve">Three-tier action plan — </w:t>
      </w:r>
      <w:r>
        <w:t>On completion, a report is generated with findings by key question and a prioritised action plan: Must Address, Strengthen Before Inspection, and Maintain.</w:t>
      </w:r>
    </w:p>
    <w:p>
      <w:pPr>
        <w:pStyle w:val="ListParagraph"/>
        <w:numPr>
          <w:ilvl w:val="0"/>
          <w:numId w:val="1"/>
        </w:numPr>
      </w:pPr>
      <w:r>
        <w:rPr>
          <w:b/>
          <w:bCs/>
        </w:rPr>
        <w:t xml:space="preserve">Forward-looking language — </w:t>
      </w:r>
      <w:r>
        <w:t>Every action is written as “you need to…” and “we recommend…” — constructive and directive, not a list of failures.</w:t>
      </w:r>
    </w:p>
    <w:p>
      <w:pPr>
        <w:pStyle w:val="ListParagraph"/>
        <w:numPr>
          <w:ilvl w:val="0"/>
          <w:numId w:val="1"/>
        </w:numPr>
      </w:pPr>
      <w:r>
        <w:rPr>
          <w:b/>
          <w:bCs/>
        </w:rPr>
        <w:t xml:space="preserve">Print or save as PDF — </w:t>
      </w:r>
      <w:r>
        <w:t>The completed report can be printed or saved as a PDF for sharing with your management team, trustees, or board.</w:t>
      </w:r>
    </w:p>
    <w:p>
      <w:pPr>
        <w:pStyle w:val="ListParagraph"/>
        <w:numPr>
          <w:ilvl w:val="0"/>
          <w:numId w:val="1"/>
        </w:numPr>
      </w:pPr>
      <w:r>
        <w:rPr>
          <w:b/>
          <w:bCs/>
        </w:rPr>
        <w:t xml:space="preserve">Admin access only — </w:t>
      </w:r>
      <w:r>
        <w:t>Mock inspections are available to organisation admins. Included in the standard subscription.</w:t>
      </w:r>
    </w:p>
    <w:p>
      <w:pPr>
        <w:pStyle w:val="ListParagraph"/>
        <w:numPr>
          <w:ilvl w:val="0"/>
          <w:numId w:val="1"/>
        </w:numPr>
      </w:pPr>
      <w:r>
        <w:rPr>
          <w:b/>
          <w:bCs/>
        </w:rPr>
        <w:t xml:space="preserve">Disclaimer built in — </w:t>
      </w:r>
      <w:r>
        <w:t>A clear disclaimer appears at the start of every mock inspection and on every report: ratings are for self-assessment guidance only and do not represent the view of CQC.</w:t>
      </w:r>
    </w:p>
    <w:p>
      <w:pPr>
        <w:spacing w:after="0" w:before="0"/>
        <w:jc w:val="center"/>
      </w:pPr>
      <w:r>
        <w:rPr>
          <w:rFonts w:ascii="Calibri" w:cs="Calibri" w:eastAsia="Calibri" w:hAnsi="Calibri"/>
          <w:color w:val="666666"/>
          <w:sz w:val="18"/>
          <w:szCs w:val="18"/>
        </w:rPr>
        <w:t xml:space="preserve">AlwaysReady · hello@alwaysready.uk · alwaysready.uk</w:t>
      </w:r>
    </w:p>
    <w:sectPr>
      <w:pgSz w:w="11906" w:h="16838"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rPr>
        <w:rFonts w:ascii="Arial" w:cs="Arial" w:eastAsia="Arial" w:hAnsi="Arial"/>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2026-07-19T16:40:45.874Z</dcterms:created>
  <dcterms:modified xsi:type="dcterms:W3CDTF">2026-07-19T16:40:45.877Z</dcterms:modified>
</cp:coreProperties>
</file>

<file path=docProps/custom.xml><?xml version="1.0" encoding="utf-8"?>
<Properties xmlns="http://schemas.openxmlformats.org/officeDocument/2006/custom-properties" xmlns:vt="http://schemas.openxmlformats.org/officeDocument/2006/docPropsVTypes"/>
</file>