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14D4E"/>
          <w:sz w:val="52"/>
          <w:szCs w:val="52"/>
        </w:rPr>
        <w:t xml:space="preserve">AlwaysReady</w:t>
      </w:r>
    </w:p>
    <w:p>
      <w:pPr>
        <w:spacing w:after="40"/>
      </w:pPr>
      <w:r>
        <w:rPr>
          <w:color w:val="555555"/>
          <w:sz w:val="28"/>
          <w:szCs w:val="28"/>
        </w:rPr>
        <w:t xml:space="preserve">Inspection Readiness Platform</w:t>
      </w:r>
    </w:p>
    <w:p>
      <w:pPr>
        <w:spacing w:after="40"/>
      </w:pPr>
    </w:p>
    <w:p>
      <w:pPr>
        <w:spacing w:after="40"/>
      </w:pPr>
      <w:r>
        <w:rPr>
          <w:color w:val="555555"/>
          <w:sz w:val="28"/>
          <w:szCs w:val="28"/>
        </w:rPr>
        <w:t xml:space="preserve">Complete Feature List</w:t>
      </w:r>
    </w:p>
    <w:p>
      <w:pPr>
        <w:spacing w:after="320"/>
      </w:pPr>
      <w:r>
        <w:rPr>
          <w:i/>
          <w:iCs/>
          <w:color w:val="555555"/>
          <w:sz w:val="22"/>
          <w:szCs w:val="22"/>
        </w:rPr>
        <w:t xml:space="preserve">Built for registered care providers. Designed for CQC inspection readiness.</w:t>
      </w:r>
    </w:p>
    <w:p>
      <w:pPr>
        <w:spacing w:after="200"/>
      </w:pPr>
      <w:r>
        <w:rPr>
          <w:color w:val="1A1A1A"/>
          <w:sz w:val="20"/>
          <w:szCs w:val="20"/>
        </w:rPr>
        <w:t xml:space="preserve">AlwaysReady gives care home managers and their teams everything they need to stay inspection-ready — not just in the weeks before a CQC visit, but every single day. Below is a full list of platform features, written to help you understand exactly what you get and why it matters.</w:t>
      </w:r>
    </w:p>
    <w:p>
      <w:pPr>
        <w:pBdr>
          <w:bottom w:val="single" w:color="CCCCCC" w:sz="4"/>
        </w:pBdr>
        <w:spacing w:after="200" w:before="120"/>
      </w:pPr>
      <w:r>
        <w:t xml:space="preserve"/>
      </w:r>
    </w:p>
    <w:p>
      <w:pPr>
        <w:pBdr>
          <w:bottom w:val="single" w:color="014D4E" w:sz="6"/>
        </w:pBdr>
        <w:spacing w:after="140" w:before="400"/>
      </w:pPr>
      <w:r>
        <w:rPr>
          <w:b/>
          <w:bCs/>
          <w:color w:val="014D4E"/>
          <w:sz w:val="26"/>
          <w:szCs w:val="26"/>
        </w:rPr>
        <w:t xml:space="preserve">1. KLOE Compliance Tracking</w:t>
      </w:r>
    </w:p>
    <w:p>
      <w:pPr>
        <w:pStyle w:val="ListParagraph"/>
        <w:numPr>
          <w:ilvl w:val="0"/>
          <w:numId w:val="1"/>
        </w:numPr>
        <w:spacing w:after="80"/>
      </w:pPr>
      <w:r>
        <w:rPr>
          <w:b/>
          <w:bCs/>
          <w:color w:val="1A1A1A"/>
          <w:sz w:val="20"/>
          <w:szCs w:val="20"/>
        </w:rPr>
        <w:t xml:space="preserve">Full CQC KLOE framework, built in — </w:t>
      </w:r>
      <w:r>
        <w:rPr>
          <w:color w:val="1A1A1A"/>
          <w:sz w:val="20"/>
          <w:szCs w:val="20"/>
        </w:rPr>
        <w:t xml:space="preserve">All 24 KLOEs across 5 key questions are pre-loaded. No setup, no spreadsheets — just open the platform and start tracking.</w:t>
      </w:r>
    </w:p>
    <w:p>
      <w:pPr>
        <w:pStyle w:val="ListParagraph"/>
        <w:numPr>
          <w:ilvl w:val="0"/>
          <w:numId w:val="1"/>
        </w:numPr>
        <w:spacing w:after="80"/>
      </w:pPr>
      <w:r>
        <w:rPr>
          <w:b/>
          <w:bCs/>
          <w:color w:val="1A1A1A"/>
          <w:sz w:val="20"/>
          <w:szCs w:val="20"/>
        </w:rPr>
        <w:t xml:space="preserve">RAG status — date-driven and automatic — </w:t>
      </w:r>
      <w:r>
        <w:rPr>
          <w:color w:val="1A1A1A"/>
          <w:sz w:val="20"/>
          <w:szCs w:val="20"/>
        </w:rPr>
        <w:t xml:space="preserve">Each KLOE is automatically colour-coded Red, Amber, Green, or Grey based on when it was last reviewed and when it's next due. No manual updates needed.</w:t>
      </w:r>
    </w:p>
    <w:p>
      <w:pPr>
        <w:pStyle w:val="ListParagraph"/>
        <w:numPr>
          <w:ilvl w:val="0"/>
          <w:numId w:val="1"/>
        </w:numPr>
        <w:spacing w:after="80"/>
      </w:pPr>
      <w:r>
        <w:rPr>
          <w:b/>
          <w:bCs/>
          <w:color w:val="1A1A1A"/>
          <w:sz w:val="20"/>
          <w:szCs w:val="20"/>
        </w:rPr>
        <w:t xml:space="preserve">Compliance status tracking — </w:t>
      </w:r>
      <w:r>
        <w:rPr>
          <w:color w:val="1A1A1A"/>
          <w:sz w:val="20"/>
          <w:szCs w:val="20"/>
        </w:rPr>
        <w:t xml:space="preserve">Mark each KLOE as Not Started, In Progress, or Completed. Status is always visible to the whole team and logged in the audit trail.</w:t>
      </w:r>
    </w:p>
    <w:p>
      <w:pPr>
        <w:pStyle w:val="ListParagraph"/>
        <w:numPr>
          <w:ilvl w:val="0"/>
          <w:numId w:val="1"/>
        </w:numPr>
        <w:spacing w:after="80"/>
      </w:pPr>
      <w:r>
        <w:rPr>
          <w:b/>
          <w:bCs/>
          <w:color w:val="1A1A1A"/>
          <w:sz w:val="20"/>
          <w:szCs w:val="20"/>
        </w:rPr>
        <w:t xml:space="preserve">Review date and frequency — </w:t>
      </w:r>
      <w:r>
        <w:rPr>
          <w:color w:val="1A1A1A"/>
          <w:sz w:val="20"/>
          <w:szCs w:val="20"/>
        </w:rPr>
        <w:t xml:space="preserve">Set a review date and how often each KLOE should be revisited. The system automatically calculates your next due date.</w:t>
      </w:r>
    </w:p>
    <w:p>
      <w:pPr>
        <w:pStyle w:val="ListParagraph"/>
        <w:numPr>
          <w:ilvl w:val="0"/>
          <w:numId w:val="1"/>
        </w:numPr>
        <w:spacing w:after="80"/>
      </w:pPr>
      <w:r>
        <w:rPr>
          <w:b/>
          <w:bCs/>
          <w:color w:val="1A1A1A"/>
          <w:sz w:val="20"/>
          <w:szCs w:val="20"/>
        </w:rPr>
        <w:t xml:space="preserve">Priority scoring — </w:t>
      </w:r>
      <w:r>
        <w:rPr>
          <w:color w:val="1A1A1A"/>
          <w:sz w:val="20"/>
          <w:szCs w:val="20"/>
        </w:rPr>
        <w:t xml:space="preserve">Assign a priority from 1 (critical) to 5 (minimal) to each KLOE. Helps your team focus on the areas that carry the most inspection risk.</w:t>
      </w:r>
    </w:p>
    <w:p>
      <w:pPr>
        <w:pStyle w:val="ListParagraph"/>
        <w:numPr>
          <w:ilvl w:val="0"/>
          <w:numId w:val="1"/>
        </w:numPr>
        <w:spacing w:after="80"/>
      </w:pPr>
      <w:r>
        <w:rPr>
          <w:b/>
          <w:bCs/>
          <w:color w:val="1A1A1A"/>
          <w:sz w:val="20"/>
          <w:szCs w:val="20"/>
        </w:rPr>
        <w:t xml:space="preserve">Notes and context — </w:t>
      </w:r>
      <w:r>
        <w:rPr>
          <w:color w:val="1A1A1A"/>
          <w:sz w:val="20"/>
          <w:szCs w:val="20"/>
        </w:rPr>
        <w:t xml:space="preserve">Add free-text notes to any KLOE update. Every note is permanently recorded with who wrote it and when.</w:t>
      </w:r>
    </w:p>
    <w:p>
      <w:pPr>
        <w:pStyle w:val="ListParagraph"/>
        <w:numPr>
          <w:ilvl w:val="0"/>
          <w:numId w:val="1"/>
        </w:numPr>
        <w:spacing w:after="80"/>
      </w:pPr>
      <w:r>
        <w:rPr>
          <w:b/>
          <w:bCs/>
          <w:color w:val="1A1A1A"/>
          <w:sz w:val="20"/>
          <w:szCs w:val="20"/>
        </w:rPr>
        <w:t xml:space="preserve">CQC rating characteristics — </w:t>
      </w:r>
      <w:r>
        <w:rPr>
          <w:color w:val="1A1A1A"/>
          <w:sz w:val="20"/>
          <w:szCs w:val="20"/>
        </w:rPr>
        <w:t xml:space="preserve">See exactly what Outstanding, Good, Requires Improvement, and Inadequate look like for each individual KLOE — taken directly from CQC guidance.</w:t>
      </w:r>
    </w:p>
    <w:p>
      <w:pPr>
        <w:pStyle w:val="ListParagraph"/>
        <w:numPr>
          <w:ilvl w:val="0"/>
          <w:numId w:val="1"/>
        </w:numPr>
        <w:spacing w:after="80"/>
      </w:pPr>
      <w:r>
        <w:rPr>
          <w:b/>
          <w:bCs/>
          <w:color w:val="1A1A1A"/>
          <w:sz w:val="20"/>
          <w:szCs w:val="20"/>
        </w:rPr>
        <w:t xml:space="preserve">Sub-service configuration — </w:t>
      </w:r>
      <w:r>
        <w:rPr>
          <w:color w:val="1A1A1A"/>
          <w:sz w:val="20"/>
          <w:szCs w:val="20"/>
        </w:rPr>
        <w:t xml:space="preserve">Organisations can configure which specialist sub-services they provide. Supported sub-services: Learning Disabilities, Mental Health, End of Life Care, Acquired Brain Injury, Physical Disabilities, Bariatric Care, Sensory Impairment, and Epilepsy. Sub-service selection is reflected in compliance tracking and checklists.</w:t>
      </w:r>
    </w:p>
    <w:p>
      <w:pPr>
        <w:pBdr>
          <w:bottom w:val="single" w:color="014D4E" w:sz="6"/>
        </w:pBdr>
        <w:spacing w:after="140" w:before="400"/>
      </w:pPr>
      <w:r>
        <w:rPr>
          <w:b/>
          <w:bCs/>
          <w:color w:val="014D4E"/>
          <w:sz w:val="26"/>
          <w:szCs w:val="26"/>
        </w:rPr>
        <w:t xml:space="preserve">2. Compliance Checklists</w:t>
      </w:r>
    </w:p>
    <w:p>
      <w:pPr>
        <w:pStyle w:val="ListParagraph"/>
        <w:numPr>
          <w:ilvl w:val="0"/>
          <w:numId w:val="1"/>
        </w:numPr>
        <w:spacing w:after="80"/>
      </w:pPr>
      <w:r>
        <w:rPr>
          <w:b/>
          <w:bCs/>
          <w:color w:val="1A1A1A"/>
          <w:sz w:val="20"/>
          <w:szCs w:val="20"/>
        </w:rPr>
        <w:t xml:space="preserve">Per-KLOE evidence checklists — </w:t>
      </w:r>
      <w:r>
        <w:rPr>
          <w:color w:val="1A1A1A"/>
          <w:sz w:val="20"/>
          <w:szCs w:val="20"/>
        </w:rPr>
        <w:t xml:space="preserve">Every KLOE has a pre-built checklist of the specific evidence CQC inspectors look for. Tick each item off as you gather it.</w:t>
      </w:r>
    </w:p>
    <w:p>
      <w:pPr>
        <w:pStyle w:val="ListParagraph"/>
        <w:numPr>
          <w:ilvl w:val="0"/>
          <w:numId w:val="1"/>
        </w:numPr>
        <w:spacing w:after="80"/>
      </w:pPr>
      <w:r>
        <w:rPr>
          <w:b/>
          <w:bCs/>
          <w:color w:val="1A1A1A"/>
          <w:sz w:val="20"/>
          <w:szCs w:val="20"/>
        </w:rPr>
        <w:t xml:space="preserve">"What evidence is needed?" guidance — </w:t>
      </w:r>
      <w:r>
        <w:rPr>
          <w:color w:val="1A1A1A"/>
          <w:sz w:val="20"/>
          <w:szCs w:val="20"/>
        </w:rPr>
        <w:t xml:space="preserve">One click on any checklist item reveals exactly what evidence is expected, written in plain English.</w:t>
      </w:r>
    </w:p>
    <w:p>
      <w:pPr>
        <w:pStyle w:val="ListParagraph"/>
        <w:numPr>
          <w:ilvl w:val="0"/>
          <w:numId w:val="1"/>
        </w:numPr>
        <w:spacing w:after="80"/>
      </w:pPr>
      <w:r>
        <w:rPr>
          <w:b/>
          <w:bCs/>
          <w:color w:val="1A1A1A"/>
          <w:sz w:val="20"/>
          <w:szCs w:val="20"/>
        </w:rPr>
        <w:t xml:space="preserve">Progress bar — </w:t>
      </w:r>
      <w:r>
        <w:rPr>
          <w:color w:val="1A1A1A"/>
          <w:sz w:val="20"/>
          <w:szCs w:val="20"/>
        </w:rPr>
        <w:t xml:space="preserve">A visual progress bar shows how many checklist items are ticked for each KLOE.</w:t>
      </w:r>
    </w:p>
    <w:p>
      <w:pPr>
        <w:pStyle w:val="ListParagraph"/>
        <w:numPr>
          <w:ilvl w:val="0"/>
          <w:numId w:val="1"/>
        </w:numPr>
        <w:spacing w:after="80"/>
      </w:pPr>
      <w:r>
        <w:rPr>
          <w:b/>
          <w:bCs/>
          <w:color w:val="1A1A1A"/>
          <w:sz w:val="20"/>
          <w:szCs w:val="20"/>
        </w:rPr>
        <w:t xml:space="preserve">Automatic checklist reset on review — </w:t>
      </w:r>
      <w:r>
        <w:rPr>
          <w:color w:val="1A1A1A"/>
          <w:sz w:val="20"/>
          <w:szCs w:val="20"/>
        </w:rPr>
        <w:t xml:space="preserve">When you log a new review date, the checklist ticks reset automatically — ready for the next review cycle.</w:t>
      </w:r>
    </w:p>
    <w:p>
      <w:pPr>
        <w:pStyle w:val="ListParagraph"/>
        <w:numPr>
          <w:ilvl w:val="0"/>
          <w:numId w:val="1"/>
        </w:numPr>
        <w:spacing w:after="80"/>
      </w:pPr>
      <w:r>
        <w:rPr>
          <w:b/>
          <w:bCs/>
          <w:color w:val="1A1A1A"/>
          <w:sz w:val="20"/>
          <w:szCs w:val="20"/>
        </w:rPr>
        <w:t xml:space="preserve">Three verified service types — </w:t>
      </w:r>
      <w:r>
        <w:rPr>
          <w:color w:val="1A1A1A"/>
          <w:sz w:val="20"/>
          <w:szCs w:val="20"/>
        </w:rPr>
        <w:t xml:space="preserve">All checklist items have been cross-referenced against CQC Good rating characteristics:</w:t>
      </w:r>
    </w:p>
    <w:p>
      <w:pPr>
        <w:pStyle w:val="ListParagraph"/>
        <w:numPr>
          <w:ilvl w:val="1"/>
          <w:numId w:val="1"/>
        </w:numPr>
        <w:spacing w:after="60"/>
      </w:pPr>
      <w:r>
        <w:rPr>
          <w:color w:val="1A1A1A"/>
          <w:sz w:val="20"/>
          <w:szCs w:val="20"/>
        </w:rPr>
        <w:t xml:space="preserve">Residential Care Home — 84 checklist items</w:t>
      </w:r>
    </w:p>
    <w:p>
      <w:pPr>
        <w:pStyle w:val="ListParagraph"/>
        <w:numPr>
          <w:ilvl w:val="1"/>
          <w:numId w:val="1"/>
        </w:numPr>
        <w:spacing w:after="60"/>
      </w:pPr>
      <w:r>
        <w:rPr>
          <w:color w:val="1A1A1A"/>
          <w:sz w:val="20"/>
          <w:szCs w:val="20"/>
        </w:rPr>
        <w:t xml:space="preserve">Nursing Home — 84 checklist items</w:t>
      </w:r>
    </w:p>
    <w:p>
      <w:pPr>
        <w:pStyle w:val="ListParagraph"/>
        <w:numPr>
          <w:ilvl w:val="1"/>
          <w:numId w:val="1"/>
        </w:numPr>
        <w:spacing w:after="80"/>
      </w:pPr>
      <w:r>
        <w:rPr>
          <w:color w:val="1A1A1A"/>
          <w:sz w:val="20"/>
          <w:szCs w:val="20"/>
        </w:rPr>
        <w:t xml:space="preserve">Dual-Registered Care Home — 179 checklist items (Residential, Nursing, and Joint)</w:t>
      </w:r>
    </w:p>
    <w:p>
      <w:pPr>
        <w:pStyle w:val="ListParagraph"/>
        <w:numPr>
          <w:ilvl w:val="0"/>
          <w:numId w:val="1"/>
        </w:numPr>
        <w:spacing w:after="80"/>
      </w:pPr>
      <w:r>
        <w:rPr>
          <w:b/>
          <w:bCs/>
          <w:color w:val="1A1A1A"/>
          <w:sz w:val="20"/>
          <w:szCs w:val="20"/>
        </w:rPr>
        <w:t xml:space="preserve">Residential and Nursing wing split — </w:t>
      </w:r>
      <w:r>
        <w:rPr>
          <w:color w:val="1A1A1A"/>
          <w:sz w:val="20"/>
          <w:szCs w:val="20"/>
        </w:rPr>
        <w:t xml:space="preserve">For dual-registered homes, checklist items are split by wing with Dementia Care items shown separately.</w:t>
      </w:r>
    </w:p>
    <w:p>
      <w:pPr>
        <w:pBdr>
          <w:bottom w:val="single" w:color="014D4E" w:sz="6"/>
        </w:pBdr>
        <w:spacing w:after="140" w:before="400"/>
      </w:pPr>
      <w:r>
        <w:rPr>
          <w:b/>
          <w:bCs/>
          <w:color w:val="014D4E"/>
          <w:sz w:val="26"/>
          <w:szCs w:val="26"/>
        </w:rPr>
        <w:t xml:space="preserve">3. People's Voice</w:t>
      </w:r>
    </w:p>
    <w:p>
      <w:pPr>
        <w:spacing w:after="160"/>
      </w:pPr>
      <w:r>
        <w:rPr>
          <w:i/>
          <w:iCs/>
          <w:color w:val="555555"/>
          <w:sz w:val="20"/>
          <w:szCs w:val="20"/>
        </w:rPr>
        <w:t xml:space="preserve">CQC gathers evidence on People's Voice directly from residents, families, and carers during inspections. This module helps teams understand what inspectors will ask and prepare their own evidence in advance.</w:t>
      </w:r>
    </w:p>
    <w:p>
      <w:pPr>
        <w:pStyle w:val="ListParagraph"/>
        <w:numPr>
          <w:ilvl w:val="0"/>
          <w:numId w:val="1"/>
        </w:numPr>
        <w:spacing w:after="80"/>
      </w:pPr>
      <w:r>
        <w:rPr>
          <w:b/>
          <w:bCs/>
          <w:color w:val="1A1A1A"/>
          <w:sz w:val="20"/>
          <w:szCs w:val="20"/>
        </w:rPr>
        <w:t xml:space="preserve">19 TLAP "I" statements, built in — </w:t>
      </w:r>
      <w:r>
        <w:rPr>
          <w:color w:val="1A1A1A"/>
          <w:sz w:val="20"/>
          <w:szCs w:val="20"/>
        </w:rPr>
        <w:t xml:space="preserve">The 19 authentic "I" statements from the CQC draft 2026 assessment framework are pre-loaded and ready to work with.</w:t>
      </w:r>
    </w:p>
    <w:p>
      <w:pPr>
        <w:pStyle w:val="ListParagraph"/>
        <w:numPr>
          <w:ilvl w:val="0"/>
          <w:numId w:val="1"/>
        </w:numPr>
        <w:spacing w:after="80"/>
      </w:pPr>
      <w:r>
        <w:rPr>
          <w:b/>
          <w:bCs/>
          <w:color w:val="1A1A1A"/>
          <w:sz w:val="20"/>
          <w:szCs w:val="20"/>
        </w:rPr>
        <w:t xml:space="preserve">Confidence rating per statement — </w:t>
      </w:r>
      <w:r>
        <w:rPr>
          <w:color w:val="1A1A1A"/>
          <w:sz w:val="20"/>
          <w:szCs w:val="20"/>
        </w:rPr>
        <w:t xml:space="preserve">Record your evidence and rate your confidence as Green (confident), Amber (developing), or Red (concern).</w:t>
      </w:r>
    </w:p>
    <w:p>
      <w:pPr>
        <w:pStyle w:val="ListParagraph"/>
        <w:numPr>
          <w:ilvl w:val="0"/>
          <w:numId w:val="1"/>
        </w:numPr>
        <w:spacing w:after="80"/>
      </w:pPr>
      <w:r>
        <w:rPr>
          <w:b/>
          <w:bCs/>
          <w:color w:val="1A1A1A"/>
          <w:sz w:val="20"/>
          <w:szCs w:val="20"/>
        </w:rPr>
        <w:t xml:space="preserve">Evidence recording — </w:t>
      </w:r>
      <w:r>
        <w:rPr>
          <w:color w:val="1A1A1A"/>
          <w:sz w:val="20"/>
          <w:szCs w:val="20"/>
        </w:rPr>
        <w:t xml:space="preserve">Capture free-text evidence notes against each statement — what your service does, what residents say, what documentation supports it.</w:t>
      </w:r>
    </w:p>
    <w:p>
      <w:pPr>
        <w:pStyle w:val="ListParagraph"/>
        <w:numPr>
          <w:ilvl w:val="0"/>
          <w:numId w:val="1"/>
        </w:numPr>
        <w:spacing w:after="80"/>
      </w:pPr>
      <w:r>
        <w:rPr>
          <w:b/>
          <w:bCs/>
          <w:color w:val="1A1A1A"/>
          <w:sz w:val="20"/>
          <w:szCs w:val="20"/>
        </w:rPr>
        <w:t xml:space="preserve">Grouped by key question — </w:t>
      </w:r>
      <w:r>
        <w:rPr>
          <w:color w:val="1A1A1A"/>
          <w:sz w:val="20"/>
          <w:szCs w:val="20"/>
        </w:rPr>
        <w:t xml:space="preserve">Statements are organised by CQC key question so teams can see where their strengths and gaps are.</w:t>
      </w:r>
    </w:p>
    <w:p>
      <w:pPr>
        <w:pStyle w:val="ListParagraph"/>
        <w:numPr>
          <w:ilvl w:val="0"/>
          <w:numId w:val="1"/>
        </w:numPr>
        <w:spacing w:after="80"/>
      </w:pPr>
      <w:r>
        <w:rPr>
          <w:b/>
          <w:bCs/>
          <w:color w:val="1A1A1A"/>
          <w:sz w:val="20"/>
          <w:szCs w:val="20"/>
        </w:rPr>
        <w:t xml:space="preserve">Summary dashboard — </w:t>
      </w:r>
      <w:r>
        <w:rPr>
          <w:color w:val="1A1A1A"/>
          <w:sz w:val="20"/>
          <w:szCs w:val="20"/>
        </w:rPr>
        <w:t xml:space="preserve">A colour-coded summary shows how many statements are Green, Amber, Red, or not yet assessed at a glance.</w:t>
      </w:r>
    </w:p>
    <w:p>
      <w:pPr>
        <w:pStyle w:val="ListParagraph"/>
        <w:numPr>
          <w:ilvl w:val="0"/>
          <w:numId w:val="1"/>
        </w:numPr>
        <w:spacing w:after="80"/>
      </w:pPr>
      <w:r>
        <w:rPr>
          <w:b/>
          <w:bCs/>
          <w:color w:val="1A1A1A"/>
          <w:sz w:val="20"/>
          <w:szCs w:val="20"/>
        </w:rPr>
        <w:t xml:space="preserve">Read-only for viewers — </w:t>
      </w:r>
      <w:r>
        <w:rPr>
          <w:color w:val="1A1A1A"/>
          <w:sz w:val="20"/>
          <w:szCs w:val="20"/>
        </w:rPr>
        <w:t xml:space="preserve">Visitor logins can view People's Voice evidence but cannot edit it.</w:t>
      </w:r>
    </w:p>
    <w:p>
      <w:pPr>
        <w:pBdr>
          <w:bottom w:val="single" w:color="014D4E" w:sz="6"/>
        </w:pBdr>
        <w:spacing w:after="140" w:before="400"/>
      </w:pPr>
      <w:r>
        <w:rPr>
          <w:b/>
          <w:bCs/>
          <w:color w:val="014D4E"/>
          <w:sz w:val="26"/>
          <w:szCs w:val="26"/>
        </w:rPr>
        <w:t xml:space="preserve">4. CQC Register</w:t>
      </w:r>
    </w:p>
    <w:p>
      <w:pPr>
        <w:spacing w:after="160"/>
      </w:pPr>
      <w:r>
        <w:rPr>
          <w:i/>
          <w:iCs/>
          <w:color w:val="555555"/>
          <w:sz w:val="20"/>
          <w:szCs w:val="20"/>
        </w:rPr>
        <w:t xml:space="preserve">AlwaysReady connects directly to the official CQC API so your dashboard always reflects the current public register — no manual updates needed.</w:t>
      </w:r>
    </w:p>
    <w:p>
      <w:pPr>
        <w:pStyle w:val="ListParagraph"/>
        <w:numPr>
          <w:ilvl w:val="0"/>
          <w:numId w:val="1"/>
        </w:numPr>
        <w:spacing w:after="80"/>
      </w:pPr>
      <w:r>
        <w:rPr>
          <w:b/>
          <w:bCs/>
          <w:color w:val="1A1A1A"/>
          <w:sz w:val="20"/>
          <w:szCs w:val="20"/>
        </w:rPr>
        <w:t xml:space="preserve">Live CQC rating on the dashboard — </w:t>
      </w:r>
      <w:r>
        <w:rPr>
          <w:color w:val="1A1A1A"/>
          <w:sz w:val="20"/>
          <w:szCs w:val="20"/>
        </w:rPr>
        <w:t xml:space="preserve">Your current CQC rating (Outstanding, Good, Requires Improvement, or Inadequate) is displayed on the dashboard, pulled directly from the public CQC register. Uses CQC's official colour scheme.</w:t>
      </w:r>
    </w:p>
    <w:p>
      <w:pPr>
        <w:pStyle w:val="ListParagraph"/>
        <w:numPr>
          <w:ilvl w:val="0"/>
          <w:numId w:val="1"/>
        </w:numPr>
        <w:spacing w:after="80"/>
      </w:pPr>
      <w:r>
        <w:rPr>
          <w:b/>
          <w:bCs/>
          <w:color w:val="1A1A1A"/>
          <w:sz w:val="20"/>
          <w:szCs w:val="20"/>
        </w:rPr>
        <w:t xml:space="preserve">Registered service name — </w:t>
      </w:r>
      <w:r>
        <w:rPr>
          <w:color w:val="1A1A1A"/>
          <w:sz w:val="20"/>
          <w:szCs w:val="20"/>
        </w:rPr>
        <w:t xml:space="preserve">Your service name as held by CQC is displayed alongside your rating — useful for confirming registration details are correct.</w:t>
      </w:r>
    </w:p>
    <w:p>
      <w:pPr>
        <w:pStyle w:val="ListParagraph"/>
        <w:numPr>
          <w:ilvl w:val="0"/>
          <w:numId w:val="1"/>
        </w:numPr>
        <w:spacing w:after="80"/>
      </w:pPr>
      <w:r>
        <w:rPr>
          <w:b/>
          <w:bCs/>
          <w:color w:val="1A1A1A"/>
          <w:sz w:val="20"/>
          <w:szCs w:val="20"/>
        </w:rPr>
        <w:t xml:space="preserve">Last inspection date — </w:t>
      </w:r>
      <w:r>
        <w:rPr>
          <w:color w:val="1A1A1A"/>
          <w:sz w:val="20"/>
          <w:szCs w:val="20"/>
        </w:rPr>
        <w:t xml:space="preserve">The date of your most recent CQC inspection is shown so you always know when you were last assessed.</w:t>
      </w:r>
    </w:p>
    <w:p>
      <w:pPr>
        <w:pStyle w:val="ListParagraph"/>
        <w:numPr>
          <w:ilvl w:val="0"/>
          <w:numId w:val="1"/>
        </w:numPr>
        <w:spacing w:after="80"/>
      </w:pPr>
      <w:r>
        <w:rPr>
          <w:b/>
          <w:bCs/>
          <w:color w:val="1A1A1A"/>
          <w:sz w:val="20"/>
          <w:szCs w:val="20"/>
        </w:rPr>
        <w:t xml:space="preserve">Direct link to your CQC profile — </w:t>
      </w:r>
      <w:r>
        <w:rPr>
          <w:color w:val="1A1A1A"/>
          <w:sz w:val="20"/>
          <w:szCs w:val="20"/>
        </w:rPr>
        <w:t xml:space="preserve">One click takes you to your service's public entry on the CQC website.</w:t>
      </w:r>
    </w:p>
    <w:p>
      <w:pPr>
        <w:pStyle w:val="ListParagraph"/>
        <w:numPr>
          <w:ilvl w:val="0"/>
          <w:numId w:val="1"/>
        </w:numPr>
        <w:spacing w:after="80"/>
      </w:pPr>
      <w:r>
        <w:rPr>
          <w:b/>
          <w:bCs/>
          <w:color w:val="1A1A1A"/>
          <w:sz w:val="20"/>
          <w:szCs w:val="20"/>
        </w:rPr>
        <w:t xml:space="preserve">Automatic 24-hour refresh — </w:t>
      </w:r>
      <w:r>
        <w:rPr>
          <w:color w:val="1A1A1A"/>
          <w:sz w:val="20"/>
          <w:szCs w:val="20"/>
        </w:rPr>
        <w:t xml:space="preserve">Rating data is updated automatically every 24 hours so your dashboard always reflects the current register.</w:t>
      </w:r>
    </w:p>
    <w:p>
      <w:pPr>
        <w:pStyle w:val="ListParagraph"/>
        <w:numPr>
          <w:ilvl w:val="0"/>
          <w:numId w:val="1"/>
        </w:numPr>
        <w:spacing w:after="80"/>
      </w:pPr>
      <w:r>
        <w:rPr>
          <w:b/>
          <w:bCs/>
          <w:color w:val="1A1A1A"/>
          <w:sz w:val="20"/>
          <w:szCs w:val="20"/>
        </w:rPr>
        <w:t xml:space="preserve">CQC Location ID validated at signup — </w:t>
      </w:r>
      <w:r>
        <w:rPr>
          <w:color w:val="1A1A1A"/>
          <w:sz w:val="20"/>
          <w:szCs w:val="20"/>
        </w:rPr>
        <w:t xml:space="preserve">When a new organisation signs up, their CQC Location ID is validated against the live CQC register in real time. Unrecognised IDs are blocked before account creation.</w:t>
      </w:r>
    </w:p>
    <w:p>
      <w:pPr>
        <w:pBdr>
          <w:bottom w:val="single" w:color="014D4E" w:sz="6"/>
        </w:pBdr>
        <w:spacing w:after="140" w:before="400"/>
      </w:pPr>
      <w:r>
        <w:rPr>
          <w:b/>
          <w:bCs/>
          <w:color w:val="014D4E"/>
          <w:sz w:val="26"/>
          <w:szCs w:val="26"/>
        </w:rPr>
        <w:t xml:space="preserve">5. Reporting &amp; Visibility</w:t>
      </w:r>
    </w:p>
    <w:p>
      <w:pPr>
        <w:pStyle w:val="ListParagraph"/>
        <w:numPr>
          <w:ilvl w:val="0"/>
          <w:numId w:val="1"/>
        </w:numPr>
        <w:spacing w:after="80"/>
      </w:pPr>
      <w:r>
        <w:rPr>
          <w:b/>
          <w:bCs/>
          <w:color w:val="1A1A1A"/>
          <w:sz w:val="20"/>
          <w:szCs w:val="20"/>
        </w:rPr>
        <w:t xml:space="preserve">Readiness Dashboard — </w:t>
      </w:r>
      <w:r>
        <w:rPr>
          <w:color w:val="1A1A1A"/>
          <w:sz w:val="20"/>
          <w:szCs w:val="20"/>
        </w:rPr>
        <w:t xml:space="preserve">Your inspection readiness at a glance. Shows the RAG breakdown across all KLOEs so you always know where you stand.</w:t>
      </w:r>
    </w:p>
    <w:p>
      <w:pPr>
        <w:pStyle w:val="ListParagraph"/>
        <w:numPr>
          <w:ilvl w:val="0"/>
          <w:numId w:val="1"/>
        </w:numPr>
        <w:spacing w:after="80"/>
      </w:pPr>
      <w:r>
        <w:rPr>
          <w:b/>
          <w:bCs/>
          <w:color w:val="1A1A1A"/>
          <w:sz w:val="20"/>
          <w:szCs w:val="20"/>
        </w:rPr>
        <w:t xml:space="preserve">Readiness score disclaimer — </w:t>
      </w:r>
      <w:r>
        <w:rPr>
          <w:color w:val="1A1A1A"/>
          <w:sz w:val="20"/>
          <w:szCs w:val="20"/>
        </w:rPr>
        <w:t xml:space="preserve">A clear notice on the dashboard explains that the readiness score is calculated from your own self-assessed inputs and is not the result of an independent audit. This is displayed permanently, not buried in small print.</w:t>
      </w:r>
    </w:p>
    <w:p>
      <w:pPr>
        <w:pStyle w:val="ListParagraph"/>
        <w:numPr>
          <w:ilvl w:val="0"/>
          <w:numId w:val="1"/>
        </w:numPr>
        <w:spacing w:after="80"/>
      </w:pPr>
      <w:r>
        <w:rPr>
          <w:b/>
          <w:bCs/>
          <w:color w:val="1A1A1A"/>
          <w:sz w:val="20"/>
          <w:szCs w:val="20"/>
        </w:rPr>
        <w:t xml:space="preserve">Daily Review Report — </w:t>
      </w:r>
      <w:r>
        <w:rPr>
          <w:color w:val="1A1A1A"/>
          <w:sz w:val="20"/>
          <w:szCs w:val="20"/>
        </w:rPr>
        <w:t xml:space="preserve">Shows only the KLOEs that need attention today — overdue, due within 30 days, or never assessed. Start every day knowing exactly what to work on.</w:t>
      </w:r>
    </w:p>
    <w:p>
      <w:pPr>
        <w:pStyle w:val="ListParagraph"/>
        <w:numPr>
          <w:ilvl w:val="0"/>
          <w:numId w:val="1"/>
        </w:numPr>
        <w:spacing w:after="80"/>
      </w:pPr>
      <w:r>
        <w:rPr>
          <w:b/>
          <w:bCs/>
          <w:color w:val="1A1A1A"/>
          <w:sz w:val="20"/>
          <w:szCs w:val="20"/>
        </w:rPr>
        <w:t xml:space="preserve">Readiness Trend Over Time — </w:t>
      </w:r>
      <w:r>
        <w:rPr>
          <w:color w:val="1A1A1A"/>
          <w:sz w:val="20"/>
          <w:szCs w:val="20"/>
        </w:rPr>
        <w:t xml:space="preserve">See how your inspection readiness has improved week by week. Useful for board reporting and demonstrating continuous improvement.</w:t>
      </w:r>
    </w:p>
    <w:p>
      <w:pPr>
        <w:pStyle w:val="ListParagraph"/>
        <w:numPr>
          <w:ilvl w:val="0"/>
          <w:numId w:val="1"/>
        </w:numPr>
        <w:spacing w:after="80"/>
      </w:pPr>
      <w:r>
        <w:rPr>
          <w:b/>
          <w:bCs/>
          <w:color w:val="1A1A1A"/>
          <w:sz w:val="20"/>
          <w:szCs w:val="20"/>
        </w:rPr>
        <w:t xml:space="preserve">Exportable Inspection Pack — </w:t>
      </w:r>
      <w:r>
        <w:rPr>
          <w:color w:val="1A1A1A"/>
          <w:sz w:val="20"/>
          <w:szCs w:val="20"/>
        </w:rPr>
        <w:t xml:space="preserve">Generate a printable summary of your full compliance position at any time — formatted for inspectors or board members.</w:t>
      </w:r>
    </w:p>
    <w:p>
      <w:pPr>
        <w:pStyle w:val="ListParagraph"/>
        <w:numPr>
          <w:ilvl w:val="0"/>
          <w:numId w:val="1"/>
        </w:numPr>
        <w:spacing w:after="80"/>
      </w:pPr>
      <w:r>
        <w:rPr>
          <w:b/>
          <w:bCs/>
          <w:color w:val="1A1A1A"/>
          <w:sz w:val="20"/>
          <w:szCs w:val="20"/>
        </w:rPr>
        <w:t xml:space="preserve">Inspection pack notice — </w:t>
      </w:r>
      <w:r>
        <w:rPr>
          <w:color w:val="1A1A1A"/>
          <w:sz w:val="20"/>
          <w:szCs w:val="20"/>
        </w:rPr>
        <w:t xml:space="preserve">Every inspection pack includes a prominent notice explaining it is a self-compiled summary and not a certification of compliance or independent audit.</w:t>
      </w:r>
    </w:p>
    <w:p>
      <w:pPr>
        <w:pBdr>
          <w:bottom w:val="single" w:color="014D4E" w:sz="6"/>
        </w:pBdr>
        <w:spacing w:after="140" w:before="400"/>
      </w:pPr>
      <w:r>
        <w:rPr>
          <w:b/>
          <w:bCs/>
          <w:color w:val="014D4E"/>
          <w:sz w:val="26"/>
          <w:szCs w:val="26"/>
        </w:rPr>
        <w:t xml:space="preserve">6. Audit Trail &amp; Accountability</w:t>
      </w:r>
    </w:p>
    <w:p>
      <w:pPr>
        <w:pStyle w:val="ListParagraph"/>
        <w:numPr>
          <w:ilvl w:val="0"/>
          <w:numId w:val="1"/>
        </w:numPr>
        <w:spacing w:after="80"/>
      </w:pPr>
      <w:r>
        <w:rPr>
          <w:b/>
          <w:bCs/>
          <w:color w:val="1A1A1A"/>
          <w:sz w:val="20"/>
          <w:szCs w:val="20"/>
        </w:rPr>
        <w:t xml:space="preserve">Full audit trail per KLOE — </w:t>
      </w:r>
      <w:r>
        <w:rPr>
          <w:color w:val="1A1A1A"/>
          <w:sz w:val="20"/>
          <w:szCs w:val="20"/>
        </w:rPr>
        <w:t xml:space="preserve">Every change to every KLOE is permanently recorded — status updates, review dates, priority changes, notes, and file uploads. Nothing can be edited retrospectively.</w:t>
      </w:r>
    </w:p>
    <w:p>
      <w:pPr>
        <w:pStyle w:val="ListParagraph"/>
        <w:numPr>
          <w:ilvl w:val="0"/>
          <w:numId w:val="1"/>
        </w:numPr>
        <w:spacing w:after="80"/>
      </w:pPr>
      <w:r>
        <w:rPr>
          <w:b/>
          <w:bCs/>
          <w:color w:val="1A1A1A"/>
          <w:sz w:val="20"/>
          <w:szCs w:val="20"/>
        </w:rPr>
        <w:t xml:space="preserve">Chronological timeline view — </w:t>
      </w:r>
      <w:r>
        <w:rPr>
          <w:color w:val="1A1A1A"/>
          <w:sz w:val="20"/>
          <w:szCs w:val="20"/>
        </w:rPr>
        <w:t xml:space="preserve">The full audit trail for each KLOE is displayed newest first, with who made each change and when.</w:t>
      </w:r>
    </w:p>
    <w:p>
      <w:pPr>
        <w:pStyle w:val="ListParagraph"/>
        <w:numPr>
          <w:ilvl w:val="0"/>
          <w:numId w:val="1"/>
        </w:numPr>
        <w:spacing w:after="80"/>
      </w:pPr>
      <w:r>
        <w:rPr>
          <w:b/>
          <w:bCs/>
          <w:color w:val="1A1A1A"/>
          <w:sz w:val="20"/>
          <w:szCs w:val="20"/>
        </w:rPr>
        <w:t xml:space="preserve">Priority and frequency change history — </w:t>
      </w:r>
      <w:r>
        <w:rPr>
          <w:color w:val="1A1A1A"/>
          <w:sz w:val="20"/>
          <w:szCs w:val="20"/>
        </w:rPr>
        <w:t xml:space="preserve">Every change to a KLOE's priority or review frequency is logged with a before-and-after view.</w:t>
      </w:r>
    </w:p>
    <w:p>
      <w:pPr>
        <w:pStyle w:val="ListParagraph"/>
        <w:numPr>
          <w:ilvl w:val="0"/>
          <w:numId w:val="1"/>
        </w:numPr>
        <w:spacing w:after="80"/>
      </w:pPr>
      <w:r>
        <w:rPr>
          <w:b/>
          <w:bCs/>
          <w:color w:val="1A1A1A"/>
          <w:sz w:val="20"/>
          <w:szCs w:val="20"/>
        </w:rPr>
        <w:t xml:space="preserve">File upload events in audit trail — </w:t>
      </w:r>
      <w:r>
        <w:rPr>
          <w:color w:val="1A1A1A"/>
          <w:sz w:val="20"/>
          <w:szCs w:val="20"/>
        </w:rPr>
        <w:t xml:space="preserve">Uploaded evidence files appear in the audit trail alongside compliance updates, giving a single unified view.</w:t>
      </w:r>
    </w:p>
    <w:p>
      <w:pPr>
        <w:pBdr>
          <w:bottom w:val="single" w:color="014D4E" w:sz="6"/>
        </w:pBdr>
        <w:spacing w:after="140" w:before="400"/>
      </w:pPr>
      <w:r>
        <w:rPr>
          <w:b/>
          <w:bCs/>
          <w:color w:val="014D4E"/>
          <w:sz w:val="26"/>
          <w:szCs w:val="26"/>
        </w:rPr>
        <w:t xml:space="preserve">7. Evidence File Management</w:t>
      </w:r>
    </w:p>
    <w:p>
      <w:pPr>
        <w:pStyle w:val="ListParagraph"/>
        <w:numPr>
          <w:ilvl w:val="0"/>
          <w:numId w:val="1"/>
        </w:numPr>
        <w:spacing w:after="80"/>
      </w:pPr>
      <w:r>
        <w:rPr>
          <w:b/>
          <w:bCs/>
          <w:color w:val="1A1A1A"/>
          <w:sz w:val="20"/>
          <w:szCs w:val="20"/>
        </w:rPr>
        <w:t xml:space="preserve">Secure file uploads — </w:t>
      </w:r>
      <w:r>
        <w:rPr>
          <w:color w:val="1A1A1A"/>
          <w:sz w:val="20"/>
          <w:szCs w:val="20"/>
        </w:rPr>
        <w:t xml:space="preserve">Upload supporting evidence documents directly to AlwaysReady — policies, audits, training records, photographs. Files are stored privately and are never accessible via public links.</w:t>
      </w:r>
    </w:p>
    <w:p>
      <w:pPr>
        <w:pStyle w:val="ListParagraph"/>
        <w:numPr>
          <w:ilvl w:val="0"/>
          <w:numId w:val="1"/>
        </w:numPr>
        <w:spacing w:after="80"/>
      </w:pPr>
      <w:r>
        <w:rPr>
          <w:b/>
          <w:bCs/>
          <w:color w:val="1A1A1A"/>
          <w:sz w:val="20"/>
          <w:szCs w:val="20"/>
        </w:rPr>
        <w:t xml:space="preserve">Supported file types — </w:t>
      </w:r>
      <w:r>
        <w:rPr>
          <w:color w:val="1A1A1A"/>
          <w:sz w:val="20"/>
          <w:szCs w:val="20"/>
        </w:rPr>
        <w:t xml:space="preserve">Word (.docx), Excel (.xlsx), PDF, and images (JPG, PNG). Maximum 10 MB per file. Legacy .doc and .xls formats are not accepted — see below.</w:t>
      </w:r>
    </w:p>
    <w:p>
      <w:pPr>
        <w:pBdr>
          <w:left w:val="single" w:color="B8882A" w:sz="6"/>
        </w:pBdr>
        <w:spacing w:after="160" w:before="80"/>
        <w:ind w:left="200"/>
      </w:pPr>
      <w:r>
        <w:rPr>
          <w:color w:val="7C6F2A"/>
          <w:sz w:val="18"/>
          <w:szCs w:val="18"/>
        </w:rPr>
        <w:t xml:space="preserve">Legacy .doc and .xls files are blocked because they support macros, the most common vector for Office malware. .docx and .xlsx are the secure modern equivalents.</w:t>
      </w:r>
    </w:p>
    <w:p>
      <w:pPr>
        <w:pStyle w:val="ListParagraph"/>
        <w:numPr>
          <w:ilvl w:val="0"/>
          <w:numId w:val="1"/>
        </w:numPr>
        <w:spacing w:after="80"/>
      </w:pPr>
      <w:r>
        <w:rPr>
          <w:b/>
          <w:bCs/>
          <w:color w:val="1A1A1A"/>
          <w:sz w:val="20"/>
          <w:szCs w:val="20"/>
        </w:rPr>
        <w:t xml:space="preserve">Automatic virus scanning — </w:t>
      </w:r>
      <w:r>
        <w:rPr>
          <w:color w:val="1A1A1A"/>
          <w:sz w:val="20"/>
          <w:szCs w:val="20"/>
        </w:rPr>
        <w:t xml:space="preserve">Every uploaded file is automatically scanned for malware by an enterprise-grade scanning service before it is stored. Safe files display a "Scanned for viruses" badge.</w:t>
      </w:r>
    </w:p>
    <w:p>
      <w:pPr>
        <w:pStyle w:val="ListParagraph"/>
        <w:numPr>
          <w:ilvl w:val="0"/>
          <w:numId w:val="1"/>
        </w:numPr>
        <w:spacing w:after="80"/>
      </w:pPr>
      <w:r>
        <w:rPr>
          <w:b/>
          <w:bCs/>
          <w:color w:val="1A1A1A"/>
          <w:sz w:val="20"/>
          <w:szCs w:val="20"/>
        </w:rPr>
        <w:t xml:space="preserve">Server-side file type validation — </w:t>
      </w:r>
      <w:r>
        <w:rPr>
          <w:color w:val="1A1A1A"/>
          <w:sz w:val="20"/>
          <w:szCs w:val="20"/>
        </w:rPr>
        <w:t xml:space="preserve">File types are validated by inspecting the actual file content — not just the file extension. A renamed .exe cannot be uploaded as a .pdf.</w:t>
      </w:r>
    </w:p>
    <w:p>
      <w:pPr>
        <w:pStyle w:val="ListParagraph"/>
        <w:numPr>
          <w:ilvl w:val="0"/>
          <w:numId w:val="1"/>
        </w:numPr>
        <w:spacing w:after="80"/>
      </w:pPr>
      <w:r>
        <w:rPr>
          <w:b/>
          <w:bCs/>
          <w:color w:val="1A1A1A"/>
          <w:sz w:val="20"/>
          <w:szCs w:val="20"/>
        </w:rPr>
        <w:t xml:space="preserve">Governance-only uploads — </w:t>
      </w:r>
      <w:r>
        <w:rPr>
          <w:color w:val="1A1A1A"/>
          <w:sz w:val="20"/>
          <w:szCs w:val="20"/>
        </w:rPr>
        <w:t xml:space="preserve">AlwaysReady is a governance tool — it never stores care records or resident personal data.</w:t>
      </w:r>
    </w:p>
    <w:p>
      <w:pPr>
        <w:pBdr>
          <w:bottom w:val="single" w:color="014D4E" w:sz="6"/>
        </w:pBdr>
        <w:spacing w:after="140" w:before="400"/>
      </w:pPr>
      <w:r>
        <w:rPr>
          <w:b/>
          <w:bCs/>
          <w:color w:val="014D4E"/>
          <w:sz w:val="26"/>
          <w:szCs w:val="26"/>
        </w:rPr>
        <w:t xml:space="preserve">8. HR Module</w:t>
      </w:r>
    </w:p>
    <w:p>
      <w:pPr>
        <w:spacing w:after="160"/>
      </w:pPr>
      <w:r>
        <w:rPr>
          <w:i/>
          <w:iCs/>
          <w:color w:val="555555"/>
          <w:sz w:val="20"/>
          <w:szCs w:val="20"/>
        </w:rPr>
        <w:t xml:space="preserve">A complete HR records module is built directly into the platform — no separate system needed for the core HR data your CQC inspector may ask to see.</w:t>
      </w:r>
    </w:p>
    <w:p>
      <w:pPr>
        <w:spacing w:after="80" w:before="240"/>
      </w:pPr>
      <w:r>
        <w:rPr>
          <w:b/>
          <w:bCs/>
          <w:color w:val="1A1A1A"/>
          <w:sz w:val="22"/>
          <w:szCs w:val="22"/>
        </w:rPr>
        <w:t xml:space="preserve">Employment Records</w:t>
      </w:r>
    </w:p>
    <w:p>
      <w:pPr>
        <w:pStyle w:val="ListParagraph"/>
        <w:numPr>
          <w:ilvl w:val="0"/>
          <w:numId w:val="1"/>
        </w:numPr>
        <w:spacing w:after="80"/>
      </w:pPr>
      <w:r>
        <w:rPr>
          <w:b/>
          <w:bCs/>
          <w:color w:val="1A1A1A"/>
          <w:sz w:val="20"/>
          <w:szCs w:val="20"/>
        </w:rPr>
        <w:t xml:space="preserve">Employment details — </w:t>
      </w:r>
      <w:r>
        <w:rPr>
          <w:color w:val="1A1A1A"/>
          <w:sz w:val="20"/>
          <w:szCs w:val="20"/>
        </w:rPr>
        <w:t xml:space="preserve">NI number, job title, department, employee type (full-time, part-time, zero hours, bank, agency, volunteer), contracted hours, employment start date, leaving date, and employment status.</w:t>
      </w:r>
    </w:p>
    <w:p>
      <w:pPr>
        <w:pStyle w:val="ListParagraph"/>
        <w:numPr>
          <w:ilvl w:val="0"/>
          <w:numId w:val="1"/>
        </w:numPr>
        <w:spacing w:after="80"/>
      </w:pPr>
      <w:r>
        <w:rPr>
          <w:b/>
          <w:bCs/>
          <w:color w:val="1A1A1A"/>
          <w:sz w:val="20"/>
          <w:szCs w:val="20"/>
        </w:rPr>
        <w:t xml:space="preserve">Personal information — </w:t>
      </w:r>
      <w:r>
        <w:rPr>
          <w:color w:val="1A1A1A"/>
          <w:sz w:val="20"/>
          <w:szCs w:val="20"/>
        </w:rPr>
        <w:t xml:space="preserve">Date of birth, gender, ethnic origin, marital status, and disability status. Held for equality monitoring under the Equality Act 2010, visible to admins only.</w:t>
      </w:r>
    </w:p>
    <w:p>
      <w:pPr>
        <w:pStyle w:val="ListParagraph"/>
        <w:numPr>
          <w:ilvl w:val="0"/>
          <w:numId w:val="1"/>
        </w:numPr>
        <w:spacing w:after="80"/>
      </w:pPr>
      <w:r>
        <w:rPr>
          <w:b/>
          <w:bCs/>
          <w:color w:val="1A1A1A"/>
          <w:sz w:val="20"/>
          <w:szCs w:val="20"/>
        </w:rPr>
        <w:t xml:space="preserve">Emergency contact — </w:t>
      </w:r>
      <w:r>
        <w:rPr>
          <w:color w:val="1A1A1A"/>
          <w:sz w:val="20"/>
          <w:szCs w:val="20"/>
        </w:rPr>
        <w:t xml:space="preserve">Next of kin name and emergency contact number stored against each staff record.</w:t>
      </w:r>
    </w:p>
    <w:p>
      <w:pPr>
        <w:spacing w:after="80" w:before="240"/>
      </w:pPr>
      <w:r>
        <w:rPr>
          <w:b/>
          <w:bCs/>
          <w:color w:val="1A1A1A"/>
          <w:sz w:val="22"/>
          <w:szCs w:val="22"/>
        </w:rPr>
        <w:t xml:space="preserve">Compliance Tracking</w:t>
      </w:r>
    </w:p>
    <w:p>
      <w:pPr>
        <w:pStyle w:val="ListParagraph"/>
        <w:numPr>
          <w:ilvl w:val="0"/>
          <w:numId w:val="1"/>
        </w:numPr>
        <w:spacing w:after="80"/>
      </w:pPr>
      <w:r>
        <w:rPr>
          <w:b/>
          <w:bCs/>
          <w:color w:val="1A1A1A"/>
          <w:sz w:val="20"/>
          <w:szCs w:val="20"/>
        </w:rPr>
        <w:t xml:space="preserve">DBS checks — </w:t>
      </w:r>
      <w:r>
        <w:rPr>
          <w:color w:val="1A1A1A"/>
          <w:sz w:val="20"/>
          <w:szCs w:val="20"/>
        </w:rPr>
        <w:t xml:space="preserve">Record the DBS check date, set the review frequency, and the system automatically calculates the next due date.</w:t>
      </w:r>
    </w:p>
    <w:p>
      <w:pPr>
        <w:pStyle w:val="ListParagraph"/>
        <w:numPr>
          <w:ilvl w:val="0"/>
          <w:numId w:val="1"/>
        </w:numPr>
        <w:spacing w:after="80"/>
      </w:pPr>
      <w:r>
        <w:rPr>
          <w:b/>
          <w:bCs/>
          <w:color w:val="1A1A1A"/>
          <w:sz w:val="20"/>
          <w:szCs w:val="20"/>
        </w:rPr>
        <w:t xml:space="preserve">Right to Work and References — </w:t>
      </w:r>
      <w:r>
        <w:rPr>
          <w:color w:val="1A1A1A"/>
          <w:sz w:val="20"/>
          <w:szCs w:val="20"/>
        </w:rPr>
        <w:t xml:space="preserve">Simple confirmation that right to work has been verified and references obtained.</w:t>
      </w:r>
    </w:p>
    <w:p>
      <w:pPr>
        <w:pStyle w:val="ListParagraph"/>
        <w:numPr>
          <w:ilvl w:val="0"/>
          <w:numId w:val="1"/>
        </w:numPr>
        <w:spacing w:after="80"/>
      </w:pPr>
      <w:r>
        <w:rPr>
          <w:b/>
          <w:bCs/>
          <w:color w:val="1A1A1A"/>
          <w:sz w:val="20"/>
          <w:szCs w:val="20"/>
        </w:rPr>
        <w:t xml:space="preserve">Mandatory training flag — </w:t>
      </w:r>
      <w:r>
        <w:rPr>
          <w:color w:val="1A1A1A"/>
          <w:sz w:val="20"/>
          <w:szCs w:val="20"/>
        </w:rPr>
        <w:t xml:space="preserve">Mark whether mandatory training has been completed for each staff member.</w:t>
      </w:r>
    </w:p>
    <w:p>
      <w:pPr>
        <w:spacing w:after="80" w:before="240"/>
      </w:pPr>
      <w:r>
        <w:rPr>
          <w:b/>
          <w:bCs/>
          <w:color w:val="1A1A1A"/>
          <w:sz w:val="22"/>
          <w:szCs w:val="22"/>
        </w:rPr>
        <w:t xml:space="preserve">Supervision &amp; Appraisal</w:t>
      </w:r>
    </w:p>
    <w:p>
      <w:pPr>
        <w:pStyle w:val="ListParagraph"/>
        <w:numPr>
          <w:ilvl w:val="0"/>
          <w:numId w:val="1"/>
        </w:numPr>
        <w:spacing w:after="80"/>
      </w:pPr>
      <w:r>
        <w:rPr>
          <w:b/>
          <w:bCs/>
          <w:color w:val="1A1A1A"/>
          <w:sz w:val="20"/>
          <w:szCs w:val="20"/>
        </w:rPr>
        <w:t xml:space="preserve">Supervision records — </w:t>
      </w:r>
      <w:r>
        <w:rPr>
          <w:color w:val="1A1A1A"/>
          <w:sz w:val="20"/>
          <w:szCs w:val="20"/>
        </w:rPr>
        <w:t xml:space="preserve">Last supervision date, frequency (monthly through to annual), and next due date — auto-calculated.</w:t>
      </w:r>
    </w:p>
    <w:p>
      <w:pPr>
        <w:pStyle w:val="ListParagraph"/>
        <w:numPr>
          <w:ilvl w:val="0"/>
          <w:numId w:val="1"/>
        </w:numPr>
        <w:spacing w:after="80"/>
      </w:pPr>
      <w:r>
        <w:rPr>
          <w:b/>
          <w:bCs/>
          <w:color w:val="1A1A1A"/>
          <w:sz w:val="20"/>
          <w:szCs w:val="20"/>
        </w:rPr>
        <w:t xml:space="preserve">Appraisal records — </w:t>
      </w:r>
      <w:r>
        <w:rPr>
          <w:color w:val="1A1A1A"/>
          <w:sz w:val="20"/>
          <w:szCs w:val="20"/>
        </w:rPr>
        <w:t xml:space="preserve">Last appraisal date, frequency, next due date, and free-text appraisal notes.</w:t>
      </w:r>
    </w:p>
    <w:p>
      <w:pPr>
        <w:spacing w:after="80" w:before="240"/>
      </w:pPr>
      <w:r>
        <w:rPr>
          <w:b/>
          <w:bCs/>
          <w:color w:val="1A1A1A"/>
          <w:sz w:val="22"/>
          <w:szCs w:val="22"/>
        </w:rPr>
        <w:t xml:space="preserve">Training Records</w:t>
      </w:r>
    </w:p>
    <w:p>
      <w:pPr>
        <w:pStyle w:val="ListParagraph"/>
        <w:numPr>
          <w:ilvl w:val="0"/>
          <w:numId w:val="1"/>
        </w:numPr>
        <w:spacing w:after="80"/>
      </w:pPr>
      <w:r>
        <w:rPr>
          <w:b/>
          <w:bCs/>
          <w:color w:val="1A1A1A"/>
          <w:sz w:val="20"/>
          <w:szCs w:val="20"/>
        </w:rPr>
        <w:t xml:space="preserve">Per-staff training records — </w:t>
      </w:r>
      <w:r>
        <w:rPr>
          <w:color w:val="1A1A1A"/>
          <w:sz w:val="20"/>
          <w:szCs w:val="20"/>
        </w:rPr>
        <w:t xml:space="preserve">Training types are configured at organisation level. Each staff member's completion date, frequency, and next due date are tracked individually. Default types include Manual Handling, Fire Safety, Safeguarding Adults and Children, Infection Prevention &amp; Control, and Food Hygiene.</w:t>
      </w:r>
    </w:p>
    <w:p>
      <w:pPr>
        <w:pStyle w:val="ListParagraph"/>
        <w:numPr>
          <w:ilvl w:val="0"/>
          <w:numId w:val="1"/>
        </w:numPr>
        <w:spacing w:after="80"/>
      </w:pPr>
      <w:r>
        <w:rPr>
          <w:b/>
          <w:bCs/>
          <w:color w:val="1A1A1A"/>
          <w:sz w:val="20"/>
          <w:szCs w:val="20"/>
        </w:rPr>
        <w:t xml:space="preserve">Traffic light status — </w:t>
      </w:r>
      <w:r>
        <w:rPr>
          <w:color w:val="1A1A1A"/>
          <w:sz w:val="20"/>
          <w:szCs w:val="20"/>
        </w:rPr>
        <w:t xml:space="preserve">Each training record shows Current, Due Soon, Overdue, or Not Recorded at a glance.</w:t>
      </w:r>
    </w:p>
    <w:p>
      <w:pPr>
        <w:pStyle w:val="ListParagraph"/>
        <w:numPr>
          <w:ilvl w:val="0"/>
          <w:numId w:val="1"/>
        </w:numPr>
        <w:spacing w:after="80"/>
      </w:pPr>
      <w:r>
        <w:rPr>
          <w:b/>
          <w:bCs/>
          <w:color w:val="1A1A1A"/>
          <w:sz w:val="20"/>
          <w:szCs w:val="20"/>
        </w:rPr>
        <w:t xml:space="preserve">Certificate uploads — </w:t>
      </w:r>
      <w:r>
        <w:rPr>
          <w:color w:val="1A1A1A"/>
          <w:sz w:val="20"/>
          <w:szCs w:val="20"/>
        </w:rPr>
        <w:t xml:space="preserve">Upload training certificates directly against each training record, stored securely.</w:t>
      </w:r>
    </w:p>
    <w:p>
      <w:pPr>
        <w:spacing w:after="80" w:before="240"/>
      </w:pPr>
      <w:r>
        <w:rPr>
          <w:b/>
          <w:bCs/>
          <w:color w:val="1A1A1A"/>
          <w:sz w:val="22"/>
          <w:szCs w:val="22"/>
        </w:rPr>
        <w:t xml:space="preserve">Holiday &amp; Leave Allowance</w:t>
      </w:r>
    </w:p>
    <w:p>
      <w:pPr>
        <w:pStyle w:val="ListParagraph"/>
        <w:numPr>
          <w:ilvl w:val="0"/>
          <w:numId w:val="1"/>
        </w:numPr>
        <w:spacing w:after="80"/>
      </w:pPr>
      <w:r>
        <w:rPr>
          <w:b/>
          <w:bCs/>
          <w:color w:val="1A1A1A"/>
          <w:sz w:val="20"/>
          <w:szCs w:val="20"/>
        </w:rPr>
        <w:t xml:space="preserve">Annual leave tracking — </w:t>
      </w:r>
      <w:r>
        <w:rPr>
          <w:color w:val="1A1A1A"/>
          <w:sz w:val="20"/>
          <w:szCs w:val="20"/>
        </w:rPr>
        <w:t xml:space="preserve">Set each staff member's leave year start date, total entitlement, carry-over, and days taken. The remaining balance is calculated and displayed with a visual progress bar.</w:t>
      </w:r>
    </w:p>
    <w:p>
      <w:pPr>
        <w:pStyle w:val="ListParagraph"/>
        <w:numPr>
          <w:ilvl w:val="0"/>
          <w:numId w:val="1"/>
        </w:numPr>
        <w:spacing w:after="80"/>
      </w:pPr>
      <w:r>
        <w:rPr>
          <w:b/>
          <w:bCs/>
          <w:color w:val="1A1A1A"/>
          <w:sz w:val="20"/>
          <w:szCs w:val="20"/>
        </w:rPr>
        <w:t xml:space="preserve">Multiple leave years — </w:t>
      </w:r>
      <w:r>
        <w:rPr>
          <w:color w:val="1A1A1A"/>
          <w:sz w:val="20"/>
          <w:szCs w:val="20"/>
        </w:rPr>
        <w:t xml:space="preserve">Previous leave years are retained and displayed for a full leave history.</w:t>
      </w:r>
    </w:p>
    <w:p>
      <w:pPr>
        <w:pStyle w:val="ListParagraph"/>
        <w:numPr>
          <w:ilvl w:val="0"/>
          <w:numId w:val="1"/>
        </w:numPr>
        <w:spacing w:after="80"/>
      </w:pPr>
      <w:r>
        <w:rPr>
          <w:b/>
          <w:bCs/>
          <w:color w:val="1A1A1A"/>
          <w:sz w:val="20"/>
          <w:szCs w:val="20"/>
        </w:rPr>
        <w:t xml:space="preserve">Days or hours — </w:t>
      </w:r>
      <w:r>
        <w:rPr>
          <w:color w:val="1A1A1A"/>
          <w:sz w:val="20"/>
          <w:szCs w:val="20"/>
        </w:rPr>
        <w:t xml:space="preserve">Holiday allowances can be tracked in days or hours, configurable at organisation level.</w:t>
      </w:r>
    </w:p>
    <w:p>
      <w:pPr>
        <w:spacing w:after="80" w:before="240"/>
      </w:pPr>
      <w:r>
        <w:rPr>
          <w:b/>
          <w:bCs/>
          <w:color w:val="1A1A1A"/>
          <w:sz w:val="22"/>
          <w:szCs w:val="22"/>
        </w:rPr>
        <w:t xml:space="preserve">HR Overview Dashboard</w:t>
      </w:r>
    </w:p>
    <w:p>
      <w:pPr>
        <w:pStyle w:val="ListParagraph"/>
        <w:numPr>
          <w:ilvl w:val="0"/>
          <w:numId w:val="1"/>
        </w:numPr>
        <w:spacing w:after="80"/>
      </w:pPr>
      <w:r>
        <w:rPr>
          <w:b/>
          <w:bCs/>
          <w:color w:val="1A1A1A"/>
          <w:sz w:val="20"/>
          <w:szCs w:val="20"/>
        </w:rPr>
        <w:t xml:space="preserve">Team compliance at a glance — </w:t>
      </w:r>
      <w:r>
        <w:rPr>
          <w:color w:val="1A1A1A"/>
          <w:sz w:val="20"/>
          <w:szCs w:val="20"/>
        </w:rPr>
        <w:t xml:space="preserve">The HR overview page shows all staff with colour-coded status badges for DBS, Supervision, Appraisal, and Training — so you can see at a glance who needs attention.</w:t>
      </w:r>
    </w:p>
    <w:p>
      <w:pPr>
        <w:pBdr>
          <w:bottom w:val="single" w:color="014D4E" w:sz="6"/>
        </w:pBdr>
        <w:spacing w:after="140" w:before="400"/>
      </w:pPr>
      <w:r>
        <w:rPr>
          <w:b/>
          <w:bCs/>
          <w:color w:val="014D4E"/>
          <w:sz w:val="26"/>
          <w:szCs w:val="26"/>
        </w:rPr>
        <w:t xml:space="preserve">9. Team Management</w:t>
      </w:r>
    </w:p>
    <w:p>
      <w:pPr>
        <w:pStyle w:val="ListParagraph"/>
        <w:numPr>
          <w:ilvl w:val="0"/>
          <w:numId w:val="1"/>
        </w:numPr>
        <w:spacing w:after="80"/>
      </w:pPr>
      <w:r>
        <w:rPr>
          <w:b/>
          <w:bCs/>
          <w:color w:val="1A1A1A"/>
          <w:sz w:val="20"/>
          <w:szCs w:val="20"/>
        </w:rPr>
        <w:t xml:space="preserve">Role-based access control — </w:t>
      </w:r>
      <w:r>
        <w:rPr>
          <w:color w:val="1A1A1A"/>
          <w:sz w:val="20"/>
          <w:szCs w:val="20"/>
        </w:rPr>
        <w:t xml:space="preserve">Three roles: Admin (full access), Staff (can update assigned KLOEs), and Viewer (read-only).</w:t>
      </w:r>
    </w:p>
    <w:p>
      <w:pPr>
        <w:pStyle w:val="ListParagraph"/>
        <w:numPr>
          <w:ilvl w:val="0"/>
          <w:numId w:val="1"/>
        </w:numPr>
        <w:spacing w:after="80"/>
      </w:pPr>
      <w:r>
        <w:rPr>
          <w:b/>
          <w:bCs/>
          <w:color w:val="1A1A1A"/>
          <w:sz w:val="20"/>
          <w:szCs w:val="20"/>
        </w:rPr>
        <w:t xml:space="preserve">KLOE assignment — </w:t>
      </w:r>
      <w:r>
        <w:rPr>
          <w:color w:val="1A1A1A"/>
          <w:sz w:val="20"/>
          <w:szCs w:val="20"/>
        </w:rPr>
        <w:t xml:space="preserve">Assign individual KLOEs to specific team members. Staff can only update the KLOEs assigned to them.</w:t>
      </w:r>
    </w:p>
    <w:p>
      <w:pPr>
        <w:pStyle w:val="ListParagraph"/>
        <w:numPr>
          <w:ilvl w:val="0"/>
          <w:numId w:val="1"/>
        </w:numPr>
        <w:spacing w:after="80"/>
      </w:pPr>
      <w:r>
        <w:rPr>
          <w:b/>
          <w:bCs/>
          <w:color w:val="1A1A1A"/>
          <w:sz w:val="20"/>
          <w:szCs w:val="20"/>
        </w:rPr>
        <w:t xml:space="preserve">Visitor (read-only) logins — </w:t>
      </w:r>
      <w:r>
        <w:rPr>
          <w:color w:val="1A1A1A"/>
          <w:sz w:val="20"/>
          <w:szCs w:val="20"/>
        </w:rPr>
        <w:t xml:space="preserve">Create temporary read-only logins for inspectors, trustees, or external reviewers with a set expiry date.</w:t>
      </w:r>
    </w:p>
    <w:p>
      <w:pPr>
        <w:pStyle w:val="ListParagraph"/>
        <w:numPr>
          <w:ilvl w:val="0"/>
          <w:numId w:val="1"/>
        </w:numPr>
        <w:spacing w:after="80"/>
      </w:pPr>
      <w:r>
        <w:rPr>
          <w:b/>
          <w:bCs/>
          <w:color w:val="1A1A1A"/>
          <w:sz w:val="20"/>
          <w:szCs w:val="20"/>
        </w:rPr>
        <w:t xml:space="preserve">Team member profiles — </w:t>
      </w:r>
      <w:r>
        <w:rPr>
          <w:color w:val="1A1A1A"/>
          <w:sz w:val="20"/>
          <w:szCs w:val="20"/>
        </w:rPr>
        <w:t xml:space="preserve">Store each team member's username, personal email, and mobile number.</w:t>
      </w:r>
    </w:p>
    <w:p>
      <w:pPr>
        <w:pStyle w:val="ListParagraph"/>
        <w:numPr>
          <w:ilvl w:val="0"/>
          <w:numId w:val="1"/>
        </w:numPr>
        <w:spacing w:after="80"/>
      </w:pPr>
      <w:r>
        <w:rPr>
          <w:b/>
          <w:bCs/>
          <w:color w:val="1A1A1A"/>
          <w:sz w:val="20"/>
          <w:szCs w:val="20"/>
        </w:rPr>
        <w:t xml:space="preserve">Username-based login — </w:t>
      </w:r>
      <w:r>
        <w:rPr>
          <w:color w:val="1A1A1A"/>
          <w:sz w:val="20"/>
          <w:szCs w:val="20"/>
        </w:rPr>
        <w:t xml:space="preserve">Staff log in with a username (not their email address), keeping personal email addresses private.</w:t>
      </w:r>
    </w:p>
    <w:p>
      <w:pPr>
        <w:pBdr>
          <w:bottom w:val="single" w:color="014D4E" w:sz="6"/>
        </w:pBdr>
        <w:spacing w:after="140" w:before="400"/>
      </w:pPr>
      <w:r>
        <w:rPr>
          <w:b/>
          <w:bCs/>
          <w:color w:val="014D4E"/>
          <w:sz w:val="26"/>
          <w:szCs w:val="26"/>
        </w:rPr>
        <w:t xml:space="preserve">10. Security</w:t>
      </w:r>
    </w:p>
    <w:p>
      <w:pPr>
        <w:pStyle w:val="ListParagraph"/>
        <w:numPr>
          <w:ilvl w:val="0"/>
          <w:numId w:val="1"/>
        </w:numPr>
        <w:spacing w:after="80"/>
      </w:pPr>
      <w:r>
        <w:rPr>
          <w:b/>
          <w:bCs/>
          <w:color w:val="1A1A1A"/>
          <w:sz w:val="20"/>
          <w:szCs w:val="20"/>
        </w:rPr>
        <w:t xml:space="preserve">Multi-factor authentication (MFA) — </w:t>
      </w:r>
      <w:r>
        <w:rPr>
          <w:color w:val="1A1A1A"/>
          <w:sz w:val="20"/>
          <w:szCs w:val="20"/>
        </w:rPr>
        <w:t xml:space="preserve">Two-factor authentication is required for all Admin and Staff accounts. Uses any TOTP authenticator app (Google Authenticator, Authy, Microsoft Authenticator, etc.). A one-time code is required at every login in addition to the password.</w:t>
      </w:r>
    </w:p>
    <w:p>
      <w:pPr>
        <w:pStyle w:val="ListParagraph"/>
        <w:numPr>
          <w:ilvl w:val="0"/>
          <w:numId w:val="1"/>
        </w:numPr>
        <w:spacing w:after="80"/>
      </w:pPr>
      <w:r>
        <w:rPr>
          <w:b/>
          <w:bCs/>
          <w:color w:val="1A1A1A"/>
          <w:sz w:val="20"/>
          <w:szCs w:val="20"/>
        </w:rPr>
        <w:t xml:space="preserve">Automatic sign-out on tab close — </w:t>
      </w:r>
      <w:r>
        <w:rPr>
          <w:color w:val="1A1A1A"/>
          <w:sz w:val="20"/>
          <w:szCs w:val="20"/>
        </w:rPr>
        <w:t xml:space="preserve">Users are signed out automatically when they close the browser tab. This is a deliberate security feature to protect data on shared devices.</w:t>
      </w:r>
    </w:p>
    <w:p>
      <w:pPr>
        <w:pStyle w:val="ListParagraph"/>
        <w:numPr>
          <w:ilvl w:val="0"/>
          <w:numId w:val="1"/>
        </w:numPr>
        <w:spacing w:after="80"/>
      </w:pPr>
      <w:r>
        <w:rPr>
          <w:b/>
          <w:bCs/>
          <w:color w:val="1A1A1A"/>
          <w:sz w:val="20"/>
          <w:szCs w:val="20"/>
        </w:rPr>
        <w:t xml:space="preserve">Password change with email notification — </w:t>
      </w:r>
      <w:r>
        <w:rPr>
          <w:color w:val="1A1A1A"/>
          <w:sz w:val="20"/>
          <w:szCs w:val="20"/>
        </w:rPr>
        <w:t xml:space="preserve">An email is sent immediately when a team member's password is changed. If they didn't make the change, they're prompted to act.</w:t>
      </w:r>
    </w:p>
    <w:p>
      <w:pPr>
        <w:pStyle w:val="ListParagraph"/>
        <w:numPr>
          <w:ilvl w:val="0"/>
          <w:numId w:val="1"/>
        </w:numPr>
        <w:spacing w:after="80"/>
      </w:pPr>
      <w:r>
        <w:rPr>
          <w:b/>
          <w:bCs/>
          <w:color w:val="1A1A1A"/>
          <w:sz w:val="20"/>
          <w:szCs w:val="20"/>
        </w:rPr>
        <w:t xml:space="preserve">Self-service password reset — </w:t>
      </w:r>
      <w:r>
        <w:rPr>
          <w:color w:val="1A1A1A"/>
          <w:sz w:val="20"/>
          <w:szCs w:val="20"/>
        </w:rPr>
        <w:t xml:space="preserve">Any user can reset their own password from the login page without needing admin help.</w:t>
      </w:r>
    </w:p>
    <w:p>
      <w:pPr>
        <w:pStyle w:val="ListParagraph"/>
        <w:numPr>
          <w:ilvl w:val="0"/>
          <w:numId w:val="1"/>
        </w:numPr>
        <w:spacing w:after="80"/>
      </w:pPr>
      <w:r>
        <w:rPr>
          <w:b/>
          <w:bCs/>
          <w:color w:val="1A1A1A"/>
          <w:sz w:val="20"/>
          <w:szCs w:val="20"/>
        </w:rPr>
        <w:t xml:space="preserve">Encrypted data at rest and in transit — </w:t>
      </w:r>
      <w:r>
        <w:rPr>
          <w:color w:val="1A1A1A"/>
          <w:sz w:val="20"/>
          <w:szCs w:val="20"/>
        </w:rPr>
        <w:t xml:space="preserve">All data is encrypted in transit (TLS) and at rest. Files are stored in encrypted cloud storage.</w:t>
      </w:r>
    </w:p>
    <w:p>
      <w:pPr>
        <w:pStyle w:val="ListParagraph"/>
        <w:numPr>
          <w:ilvl w:val="0"/>
          <w:numId w:val="1"/>
        </w:numPr>
        <w:spacing w:after="80"/>
      </w:pPr>
      <w:r>
        <w:rPr>
          <w:b/>
          <w:bCs/>
          <w:color w:val="1A1A1A"/>
          <w:sz w:val="20"/>
          <w:szCs w:val="20"/>
        </w:rPr>
        <w:t xml:space="preserve">Row-level security — </w:t>
      </w:r>
      <w:r>
        <w:rPr>
          <w:color w:val="1A1A1A"/>
          <w:sz w:val="20"/>
          <w:szCs w:val="20"/>
        </w:rPr>
        <w:t xml:space="preserve">Database-level access controls ensure each organisation's data is completely isolated. One organisation can never access another's records.</w:t>
      </w:r>
    </w:p>
    <w:p>
      <w:pPr>
        <w:pStyle w:val="ListParagraph"/>
        <w:numPr>
          <w:ilvl w:val="0"/>
          <w:numId w:val="1"/>
        </w:numPr>
        <w:spacing w:after="80"/>
      </w:pPr>
      <w:r>
        <w:rPr>
          <w:b/>
          <w:bCs/>
          <w:color w:val="1A1A1A"/>
          <w:sz w:val="20"/>
          <w:szCs w:val="20"/>
        </w:rPr>
        <w:t xml:space="preserve">No direct browser-to-storage uploads — </w:t>
      </w:r>
      <w:r>
        <w:rPr>
          <w:color w:val="1A1A1A"/>
          <w:sz w:val="20"/>
          <w:szCs w:val="20"/>
        </w:rPr>
        <w:t xml:space="preserve">All file uploads are routed through our secure server — every file is validated and scanned before it is saved.</w:t>
      </w:r>
    </w:p>
    <w:p>
      <w:pPr>
        <w:pBdr>
          <w:bottom w:val="single" w:color="014D4E" w:sz="6"/>
        </w:pBdr>
        <w:spacing w:after="140" w:before="400"/>
      </w:pPr>
      <w:r>
        <w:rPr>
          <w:b/>
          <w:bCs/>
          <w:color w:val="014D4E"/>
          <w:sz w:val="26"/>
          <w:szCs w:val="26"/>
        </w:rPr>
        <w:t xml:space="preserve">11. Notifications &amp; Email</w:t>
      </w:r>
    </w:p>
    <w:p>
      <w:pPr>
        <w:pStyle w:val="ListParagraph"/>
        <w:numPr>
          <w:ilvl w:val="0"/>
          <w:numId w:val="1"/>
        </w:numPr>
        <w:spacing w:after="80"/>
      </w:pPr>
      <w:r>
        <w:rPr>
          <w:b/>
          <w:bCs/>
          <w:color w:val="1A1A1A"/>
          <w:sz w:val="20"/>
          <w:szCs w:val="20"/>
        </w:rPr>
        <w:t xml:space="preserve">Support ticket auto-responder — </w:t>
      </w:r>
      <w:r>
        <w:rPr>
          <w:color w:val="1A1A1A"/>
          <w:sz w:val="20"/>
          <w:szCs w:val="20"/>
        </w:rPr>
        <w:t xml:space="preserve">When a user raises a support ticket, they immediately receive a confirmation email with their ticket reference number.</w:t>
      </w:r>
    </w:p>
    <w:p>
      <w:pPr>
        <w:pStyle w:val="ListParagraph"/>
        <w:numPr>
          <w:ilvl w:val="0"/>
          <w:numId w:val="1"/>
        </w:numPr>
        <w:spacing w:after="80"/>
      </w:pPr>
      <w:r>
        <w:rPr>
          <w:b/>
          <w:bCs/>
          <w:color w:val="1A1A1A"/>
          <w:sz w:val="20"/>
          <w:szCs w:val="20"/>
        </w:rPr>
        <w:t xml:space="preserve">Inbound email reply threading — </w:t>
      </w:r>
      <w:r>
        <w:rPr>
          <w:color w:val="1A1A1A"/>
          <w:sz w:val="20"/>
          <w:szCs w:val="20"/>
        </w:rPr>
        <w:t xml:space="preserve">Users can reply to support ticket emails and their reply is automatically threaded back into the support ticket in the platform. No need to log in to respond.</w:t>
      </w:r>
    </w:p>
    <w:p>
      <w:pPr>
        <w:pStyle w:val="ListParagraph"/>
        <w:numPr>
          <w:ilvl w:val="0"/>
          <w:numId w:val="1"/>
        </w:numPr>
        <w:spacing w:after="80"/>
      </w:pPr>
      <w:r>
        <w:rPr>
          <w:b/>
          <w:bCs/>
          <w:color w:val="1A1A1A"/>
          <w:sz w:val="20"/>
          <w:szCs w:val="20"/>
        </w:rPr>
        <w:t xml:space="preserve">Ticket resolved notification — </w:t>
      </w:r>
      <w:r>
        <w:rPr>
          <w:color w:val="1A1A1A"/>
          <w:sz w:val="20"/>
          <w:szCs w:val="20"/>
        </w:rPr>
        <w:t xml:space="preserve">When a ticket is marked as resolved, the submitter receives an email confirming it has been closed.</w:t>
      </w:r>
    </w:p>
    <w:p>
      <w:pPr>
        <w:pStyle w:val="ListParagraph"/>
        <w:numPr>
          <w:ilvl w:val="0"/>
          <w:numId w:val="1"/>
        </w:numPr>
        <w:spacing w:after="80"/>
      </w:pPr>
      <w:r>
        <w:rPr>
          <w:b/>
          <w:bCs/>
          <w:color w:val="1A1A1A"/>
          <w:sz w:val="20"/>
          <w:szCs w:val="20"/>
        </w:rPr>
        <w:t xml:space="preserve">Password change alert — </w:t>
      </w:r>
      <w:r>
        <w:rPr>
          <w:color w:val="1A1A1A"/>
          <w:sz w:val="20"/>
          <w:szCs w:val="20"/>
        </w:rPr>
        <w:t xml:space="preserve">An automatic email is sent whenever a team member's password is changed.</w:t>
      </w:r>
    </w:p>
    <w:p>
      <w:pPr>
        <w:pStyle w:val="ListParagraph"/>
        <w:numPr>
          <w:ilvl w:val="0"/>
          <w:numId w:val="1"/>
        </w:numPr>
        <w:spacing w:after="80"/>
      </w:pPr>
      <w:r>
        <w:rPr>
          <w:b/>
          <w:bCs/>
          <w:color w:val="1A1A1A"/>
          <w:sz w:val="20"/>
          <w:szCs w:val="20"/>
        </w:rPr>
        <w:t xml:space="preserve">Trial reminder emails — </w:t>
      </w:r>
      <w:r>
        <w:rPr>
          <w:color w:val="1A1A1A"/>
          <w:sz w:val="20"/>
          <w:szCs w:val="20"/>
        </w:rPr>
        <w:t xml:space="preserve">Automated emails at key points during the trial period remind organisations what's available and prompt them to explore features they haven't used yet.</w:t>
      </w:r>
    </w:p>
    <w:p>
      <w:pPr>
        <w:pStyle w:val="ListParagraph"/>
        <w:numPr>
          <w:ilvl w:val="0"/>
          <w:numId w:val="1"/>
        </w:numPr>
        <w:spacing w:after="80"/>
      </w:pPr>
      <w:r>
        <w:rPr>
          <w:b/>
          <w:bCs/>
          <w:color w:val="1A1A1A"/>
          <w:sz w:val="20"/>
          <w:szCs w:val="20"/>
        </w:rPr>
        <w:t xml:space="preserve">Marketing opt-out — </w:t>
      </w:r>
      <w:r>
        <w:rPr>
          <w:color w:val="1A1A1A"/>
          <w:sz w:val="20"/>
          <w:szCs w:val="20"/>
        </w:rPr>
        <w:t xml:space="preserve">All marketing and onboarding emails include a one-click unsubscribe link. Transactional emails (security alerts, ticket notifications) are always delivered regardless.</w:t>
      </w:r>
    </w:p>
    <w:p>
      <w:pPr>
        <w:pStyle w:val="ListParagraph"/>
        <w:numPr>
          <w:ilvl w:val="0"/>
          <w:numId w:val="1"/>
        </w:numPr>
        <w:spacing w:after="80"/>
      </w:pPr>
      <w:r>
        <w:rPr>
          <w:b/>
          <w:bCs/>
          <w:color w:val="1A1A1A"/>
          <w:sz w:val="20"/>
          <w:szCs w:val="20"/>
        </w:rPr>
        <w:t xml:space="preserve">Transactional vs marketing separation — </w:t>
      </w:r>
      <w:r>
        <w:rPr>
          <w:color w:val="1A1A1A"/>
          <w:sz w:val="20"/>
          <w:szCs w:val="20"/>
        </w:rPr>
        <w:t xml:space="preserve">The platform enforces a strict separation between transactional and marketing emails at the infrastructure level.</w:t>
      </w:r>
    </w:p>
    <w:p>
      <w:pPr>
        <w:pBdr>
          <w:bottom w:val="single" w:color="014D4E" w:sz="6"/>
        </w:pBdr>
        <w:spacing w:after="140" w:before="400"/>
      </w:pPr>
      <w:r>
        <w:rPr>
          <w:b/>
          <w:bCs/>
          <w:color w:val="014D4E"/>
          <w:sz w:val="26"/>
          <w:szCs w:val="26"/>
        </w:rPr>
        <w:t xml:space="preserve">12. Support &amp; Onboarding</w:t>
      </w:r>
    </w:p>
    <w:p>
      <w:pPr>
        <w:pStyle w:val="ListParagraph"/>
        <w:numPr>
          <w:ilvl w:val="0"/>
          <w:numId w:val="1"/>
        </w:numPr>
        <w:spacing w:after="80"/>
      </w:pPr>
      <w:r>
        <w:rPr>
          <w:b/>
          <w:bCs/>
          <w:color w:val="1A1A1A"/>
          <w:sz w:val="20"/>
          <w:szCs w:val="20"/>
        </w:rPr>
        <w:t xml:space="preserve">In-platform help documentation — </w:t>
      </w:r>
      <w:r>
        <w:rPr>
          <w:color w:val="1A1A1A"/>
          <w:sz w:val="20"/>
          <w:szCs w:val="20"/>
        </w:rPr>
        <w:t xml:space="preserve">A full, role-specific help section is built directly into the platform. Admins, staff, and viewers each see guidance written for their role.</w:t>
      </w:r>
    </w:p>
    <w:p>
      <w:pPr>
        <w:pStyle w:val="ListParagraph"/>
        <w:numPr>
          <w:ilvl w:val="0"/>
          <w:numId w:val="1"/>
        </w:numPr>
        <w:spacing w:after="80"/>
      </w:pPr>
      <w:r>
        <w:rPr>
          <w:b/>
          <w:bCs/>
          <w:color w:val="1A1A1A"/>
          <w:sz w:val="20"/>
          <w:szCs w:val="20"/>
        </w:rPr>
        <w:t xml:space="preserve">Support ticket system — </w:t>
      </w:r>
      <w:r>
        <w:rPr>
          <w:color w:val="1A1A1A"/>
          <w:sz w:val="20"/>
          <w:szCs w:val="20"/>
        </w:rPr>
        <w:t xml:space="preserve">Raise a support ticket from inside the platform. Replies are delivered in-platform and by email. Users can reply by email and their response threads back automatically.</w:t>
      </w:r>
    </w:p>
    <w:p>
      <w:pPr>
        <w:pStyle w:val="ListParagraph"/>
        <w:numPr>
          <w:ilvl w:val="0"/>
          <w:numId w:val="1"/>
        </w:numPr>
        <w:spacing w:after="80"/>
      </w:pPr>
      <w:r>
        <w:rPr>
          <w:b/>
          <w:bCs/>
          <w:color w:val="1A1A1A"/>
          <w:sz w:val="20"/>
          <w:szCs w:val="20"/>
        </w:rPr>
        <w:t xml:space="preserve">Welcome and onboarding screen — </w:t>
      </w:r>
      <w:r>
        <w:rPr>
          <w:color w:val="1A1A1A"/>
          <w:sz w:val="20"/>
          <w:szCs w:val="20"/>
        </w:rPr>
        <w:t xml:space="preserve">New organisations see a guided welcome screen on first login explaining what AlwaysReady does and does not do, plus GDPR marketing consent.</w:t>
      </w:r>
    </w:p>
    <w:p>
      <w:pPr>
        <w:pStyle w:val="ListParagraph"/>
        <w:numPr>
          <w:ilvl w:val="0"/>
          <w:numId w:val="1"/>
        </w:numPr>
        <w:spacing w:after="80"/>
      </w:pPr>
      <w:r>
        <w:rPr>
          <w:b/>
          <w:bCs/>
          <w:color w:val="1A1A1A"/>
          <w:sz w:val="20"/>
          <w:szCs w:val="20"/>
        </w:rPr>
        <w:t xml:space="preserve">Onboarding checklist — </w:t>
      </w:r>
      <w:r>
        <w:rPr>
          <w:color w:val="1A1A1A"/>
          <w:sz w:val="20"/>
          <w:szCs w:val="20"/>
        </w:rPr>
        <w:t xml:space="preserve">New trial organisations are shown a structured checklist of first steps — configure your service, assign your first KLOE, upload your first evidence file. Progress is tracked and the checklist disappears once complete.</w:t>
      </w:r>
    </w:p>
    <w:p>
      <w:pPr>
        <w:pStyle w:val="ListParagraph"/>
        <w:numPr>
          <w:ilvl w:val="0"/>
          <w:numId w:val="1"/>
        </w:numPr>
        <w:spacing w:after="80"/>
      </w:pPr>
      <w:r>
        <w:rPr>
          <w:b/>
          <w:bCs/>
          <w:color w:val="1A1A1A"/>
          <w:sz w:val="20"/>
          <w:szCs w:val="20"/>
        </w:rPr>
        <w:t xml:space="preserve">Platform scope notice — </w:t>
      </w:r>
      <w:r>
        <w:rPr>
          <w:color w:val="1A1A1A"/>
          <w:sz w:val="20"/>
          <w:szCs w:val="20"/>
        </w:rPr>
        <w:t xml:space="preserve">The welcome screen displays a clear notice explaining that AlwaysReady is a self-assessment tool and does not provide legal, clinical, or regulatory advice, and does not guarantee any CQC inspection outcome.</w:t>
      </w:r>
    </w:p>
    <w:p>
      <w:pPr>
        <w:pStyle w:val="ListParagraph"/>
        <w:numPr>
          <w:ilvl w:val="0"/>
          <w:numId w:val="1"/>
        </w:numPr>
        <w:spacing w:after="80"/>
      </w:pPr>
      <w:r>
        <w:rPr>
          <w:b/>
          <w:bCs/>
          <w:color w:val="1A1A1A"/>
          <w:sz w:val="20"/>
          <w:szCs w:val="20"/>
        </w:rPr>
        <w:t xml:space="preserve">Interactive demo — </w:t>
      </w:r>
      <w:r>
        <w:rPr>
          <w:color w:val="1A1A1A"/>
          <w:sz w:val="20"/>
          <w:szCs w:val="20"/>
        </w:rPr>
        <w:t xml:space="preserve">Prospective customers can explore a fully functional demo environment pre-loaded with realistic KLOE data. The demo resets automatically every night.</w:t>
      </w:r>
    </w:p>
    <w:p>
      <w:pPr>
        <w:pStyle w:val="ListParagraph"/>
        <w:numPr>
          <w:ilvl w:val="0"/>
          <w:numId w:val="1"/>
        </w:numPr>
        <w:spacing w:after="80"/>
      </w:pPr>
      <w:r>
        <w:rPr>
          <w:b/>
          <w:bCs/>
          <w:color w:val="1A1A1A"/>
          <w:sz w:val="20"/>
          <w:szCs w:val="20"/>
        </w:rPr>
        <w:t xml:space="preserve">Self-service trial signup — </w:t>
      </w:r>
      <w:r>
        <w:rPr>
          <w:color w:val="1A1A1A"/>
          <w:sz w:val="20"/>
          <w:szCs w:val="20"/>
        </w:rPr>
        <w:t xml:space="preserve">New organisations can sign up and start a 14-day free trial directly from the website, without needing to contact the AlwaysReady team. The account is provisioned instantly.</w:t>
      </w:r>
    </w:p>
    <w:p>
      <w:pPr>
        <w:pStyle w:val="ListParagraph"/>
        <w:numPr>
          <w:ilvl w:val="0"/>
          <w:numId w:val="1"/>
        </w:numPr>
        <w:spacing w:after="80"/>
      </w:pPr>
      <w:r>
        <w:rPr>
          <w:b/>
          <w:bCs/>
          <w:color w:val="1A1A1A"/>
          <w:sz w:val="20"/>
          <w:szCs w:val="20"/>
        </w:rPr>
        <w:t xml:space="preserve">T&amp;Cs acceptance at signup — </w:t>
      </w:r>
      <w:r>
        <w:rPr>
          <w:color w:val="1A1A1A"/>
          <w:sz w:val="20"/>
          <w:szCs w:val="20"/>
        </w:rPr>
        <w:t xml:space="preserve">Trial signup requires a T&amp;Cs acceptance checkbox. The timestamp and version of the accepted terms are stored against the organisation account.</w:t>
      </w:r>
    </w:p>
    <w:p>
      <w:pPr>
        <w:pStyle w:val="ListParagraph"/>
        <w:numPr>
          <w:ilvl w:val="0"/>
          <w:numId w:val="1"/>
        </w:numPr>
        <w:spacing w:after="80"/>
      </w:pPr>
      <w:r>
        <w:rPr>
          <w:b/>
          <w:bCs/>
          <w:color w:val="1A1A1A"/>
          <w:sz w:val="20"/>
          <w:szCs w:val="20"/>
        </w:rPr>
        <w:t xml:space="preserve">Charity discount — </w:t>
      </w:r>
      <w:r>
        <w:rPr>
          <w:color w:val="1A1A1A"/>
          <w:sz w:val="20"/>
          <w:szCs w:val="20"/>
        </w:rPr>
        <w:t xml:space="preserve">Registered charities can apply for a reduced subscription rate by providing their charity number at signup. The discount is applied automatically once verified.</w:t>
      </w:r>
    </w:p>
    <w:p>
      <w:pPr>
        <w:pStyle w:val="ListParagraph"/>
        <w:numPr>
          <w:ilvl w:val="0"/>
          <w:numId w:val="1"/>
        </w:numPr>
        <w:spacing w:after="80"/>
      </w:pPr>
      <w:r>
        <w:rPr>
          <w:b/>
          <w:bCs/>
          <w:color w:val="1A1A1A"/>
          <w:sz w:val="20"/>
          <w:szCs w:val="20"/>
        </w:rPr>
        <w:t xml:space="preserve">Trial period — </w:t>
      </w:r>
      <w:r>
        <w:rPr>
          <w:color w:val="1A1A1A"/>
          <w:sz w:val="20"/>
          <w:szCs w:val="20"/>
        </w:rPr>
        <w:t xml:space="preserve">New organisations start on a 14-day free trial with full access to all features. A banner shows how many days remain.</w:t>
      </w:r>
    </w:p>
    <w:p>
      <w:pPr>
        <w:pBdr>
          <w:bottom w:val="single" w:color="014D4E" w:sz="6"/>
        </w:pBdr>
        <w:spacing w:after="140" w:before="400"/>
      </w:pPr>
      <w:r>
        <w:rPr>
          <w:b/>
          <w:bCs/>
          <w:color w:val="014D4E"/>
          <w:sz w:val="26"/>
          <w:szCs w:val="26"/>
        </w:rPr>
        <w:t xml:space="preserve">13. Mobile &amp; Accessibility</w:t>
      </w:r>
    </w:p>
    <w:p>
      <w:pPr>
        <w:pStyle w:val="ListParagraph"/>
        <w:numPr>
          <w:ilvl w:val="0"/>
          <w:numId w:val="1"/>
        </w:numPr>
        <w:spacing w:after="80"/>
      </w:pPr>
      <w:r>
        <w:rPr>
          <w:b/>
          <w:bCs/>
          <w:color w:val="1A1A1A"/>
          <w:sz w:val="20"/>
          <w:szCs w:val="20"/>
        </w:rPr>
        <w:t xml:space="preserve">Mobile-responsive navigation — </w:t>
      </w:r>
      <w:r>
        <w:rPr>
          <w:color w:val="1A1A1A"/>
          <w:sz w:val="20"/>
          <w:szCs w:val="20"/>
        </w:rPr>
        <w:t xml:space="preserve">On mobile and tablet devices, the full navigation is available via a hamburger menu — designed for staff checking their tasks on a phone.</w:t>
      </w:r>
    </w:p>
    <w:p>
      <w:pPr>
        <w:pStyle w:val="ListParagraph"/>
        <w:numPr>
          <w:ilvl w:val="0"/>
          <w:numId w:val="1"/>
        </w:numPr>
        <w:spacing w:after="80"/>
      </w:pPr>
      <w:r>
        <w:rPr>
          <w:b/>
          <w:bCs/>
          <w:color w:val="1A1A1A"/>
          <w:sz w:val="20"/>
          <w:szCs w:val="20"/>
        </w:rPr>
        <w:t xml:space="preserve">Responsive forms — </w:t>
      </w:r>
      <w:r>
        <w:rPr>
          <w:color w:val="1A1A1A"/>
          <w:sz w:val="20"/>
          <w:szCs w:val="20"/>
        </w:rPr>
        <w:t xml:space="preserve">All forms — HR records, KLOE updates, support tickets — adapt to single-column layouts on small screens.</w:t>
      </w:r>
    </w:p>
    <w:p>
      <w:pPr>
        <w:pStyle w:val="ListParagraph"/>
        <w:numPr>
          <w:ilvl w:val="0"/>
          <w:numId w:val="1"/>
        </w:numPr>
        <w:spacing w:after="80"/>
      </w:pPr>
      <w:r>
        <w:rPr>
          <w:b/>
          <w:bCs/>
          <w:color w:val="1A1A1A"/>
          <w:sz w:val="20"/>
          <w:szCs w:val="20"/>
        </w:rPr>
        <w:t xml:space="preserve">Horizontally scrollable tables — </w:t>
      </w:r>
      <w:r>
        <w:rPr>
          <w:color w:val="1A1A1A"/>
          <w:sz w:val="20"/>
          <w:szCs w:val="20"/>
        </w:rPr>
        <w:t xml:space="preserve">Wide data tables scroll horizontally on small screens rather than overflowing.</w:t>
      </w:r>
    </w:p>
    <w:p>
      <w:pPr>
        <w:pStyle w:val="ListParagraph"/>
        <w:numPr>
          <w:ilvl w:val="0"/>
          <w:numId w:val="1"/>
        </w:numPr>
        <w:spacing w:after="80"/>
      </w:pPr>
      <w:r>
        <w:rPr>
          <w:b/>
          <w:bCs/>
          <w:color w:val="1A1A1A"/>
          <w:sz w:val="20"/>
          <w:szCs w:val="20"/>
        </w:rPr>
        <w:t xml:space="preserve">Dark mode — </w:t>
      </w:r>
      <w:r>
        <w:rPr>
          <w:color w:val="1A1A1A"/>
          <w:sz w:val="20"/>
          <w:szCs w:val="20"/>
        </w:rPr>
        <w:t xml:space="preserve">A dark mode toggle is available in the navigation bar. The platform respects the user's system preference by default and allows manual override. All pages and components are fully themed in both light and dark modes.</w:t>
      </w:r>
    </w:p>
    <w:p>
      <w:pPr>
        <w:pStyle w:val="ListParagraph"/>
        <w:numPr>
          <w:ilvl w:val="0"/>
          <w:numId w:val="1"/>
        </w:numPr>
        <w:spacing w:after="80"/>
      </w:pPr>
      <w:r>
        <w:rPr>
          <w:b/>
          <w:bCs/>
          <w:color w:val="1A1A1A"/>
          <w:sz w:val="20"/>
          <w:szCs w:val="20"/>
        </w:rPr>
        <w:t xml:space="preserve">Lighthouse scores — </w:t>
      </w:r>
      <w:r>
        <w:rPr>
          <w:color w:val="1A1A1A"/>
          <w:sz w:val="20"/>
          <w:szCs w:val="20"/>
        </w:rPr>
        <w:t xml:space="preserve">99 Performance / 100 Accessibility / 100 Best Practices / 100 SEO on Google Lighthouse audit.</w:t>
      </w:r>
    </w:p>
    <w:p>
      <w:pPr>
        <w:pBdr>
          <w:bottom w:val="single" w:color="014D4E" w:sz="6"/>
        </w:pBdr>
        <w:spacing w:after="140" w:before="400"/>
      </w:pPr>
      <w:r>
        <w:rPr>
          <w:b/>
          <w:bCs/>
          <w:color w:val="014D4E"/>
          <w:sz w:val="26"/>
          <w:szCs w:val="26"/>
        </w:rPr>
        <w:t xml:space="preserve">14. Data &amp; Compliance</w:t>
      </w:r>
    </w:p>
    <w:p>
      <w:pPr>
        <w:pStyle w:val="ListParagraph"/>
        <w:numPr>
          <w:ilvl w:val="0"/>
          <w:numId w:val="1"/>
        </w:numPr>
        <w:spacing w:after="80"/>
      </w:pPr>
      <w:r>
        <w:rPr>
          <w:b/>
          <w:bCs/>
          <w:color w:val="1A1A1A"/>
          <w:sz w:val="20"/>
          <w:szCs w:val="20"/>
        </w:rPr>
        <w:t xml:space="preserve">Self-serve data export — </w:t>
      </w:r>
      <w:r>
        <w:rPr>
          <w:color w:val="1A1A1A"/>
          <w:sz w:val="20"/>
          <w:szCs w:val="20"/>
        </w:rPr>
        <w:t xml:space="preserve">Organisations can export all their compliance data at any time from Account → Organisation → Export your data. Two exports are available: (1) a full CSV export of all KLOE records, audit trail, team data, and HR records; (2) a ZIP archive of all uploaded evidence files. No need to contact support.</w:t>
      </w:r>
    </w:p>
    <w:p>
      <w:pPr>
        <w:pStyle w:val="ListParagraph"/>
        <w:numPr>
          <w:ilvl w:val="0"/>
          <w:numId w:val="1"/>
        </w:numPr>
        <w:spacing w:after="80"/>
      </w:pPr>
      <w:r>
        <w:rPr>
          <w:b/>
          <w:bCs/>
          <w:color w:val="1A1A1A"/>
          <w:sz w:val="20"/>
          <w:szCs w:val="20"/>
        </w:rPr>
        <w:t xml:space="preserve">Data security statement — </w:t>
      </w:r>
      <w:r>
        <w:rPr>
          <w:color w:val="1A1A1A"/>
          <w:sz w:val="20"/>
          <w:szCs w:val="20"/>
        </w:rPr>
        <w:t xml:space="preserve">A plain-English statement explaining how AlwaysReady protects your data — available to share with your board, trustees, or inspectors.</w:t>
      </w:r>
    </w:p>
    <w:p>
      <w:pPr>
        <w:pStyle w:val="ListParagraph"/>
        <w:numPr>
          <w:ilvl w:val="0"/>
          <w:numId w:val="1"/>
        </w:numPr>
        <w:spacing w:after="80"/>
      </w:pPr>
      <w:r>
        <w:rPr>
          <w:b/>
          <w:bCs/>
          <w:color w:val="1A1A1A"/>
          <w:sz w:val="20"/>
          <w:szCs w:val="20"/>
        </w:rPr>
        <w:t xml:space="preserve">Data retention policy — </w:t>
      </w:r>
      <w:r>
        <w:rPr>
          <w:color w:val="1A1A1A"/>
          <w:sz w:val="20"/>
          <w:szCs w:val="20"/>
        </w:rPr>
        <w:t xml:space="preserve">A clear, documented policy on how long data is held and how it can be deleted. Trial accounts: data retained for 30 days after trial ends. Subscribed accounts: data retained for 30 days after subscription ends.</w:t>
      </w:r>
    </w:p>
    <w:p>
      <w:pPr>
        <w:pStyle w:val="ListParagraph"/>
        <w:numPr>
          <w:ilvl w:val="0"/>
          <w:numId w:val="1"/>
        </w:numPr>
        <w:spacing w:after="80"/>
      </w:pPr>
      <w:r>
        <w:rPr>
          <w:b/>
          <w:bCs/>
          <w:color w:val="1A1A1A"/>
          <w:sz w:val="20"/>
          <w:szCs w:val="20"/>
        </w:rPr>
        <w:t xml:space="preserve">GDPR-aligned architecture — </w:t>
      </w:r>
      <w:r>
        <w:rPr>
          <w:color w:val="1A1A1A"/>
          <w:sz w:val="20"/>
          <w:szCs w:val="20"/>
        </w:rPr>
        <w:t xml:space="preserve">Data minimisation, access control, and auditability are core principles. A Data Processing Agreement is available on request.</w:t>
      </w:r>
    </w:p>
    <w:p>
      <w:pPr>
        <w:pStyle w:val="ListParagraph"/>
        <w:numPr>
          <w:ilvl w:val="0"/>
          <w:numId w:val="1"/>
        </w:numPr>
        <w:spacing w:after="80"/>
      </w:pPr>
      <w:r>
        <w:rPr>
          <w:b/>
          <w:bCs/>
          <w:color w:val="1A1A1A"/>
          <w:sz w:val="20"/>
          <w:szCs w:val="20"/>
        </w:rPr>
        <w:t xml:space="preserve">Governance-only scope — </w:t>
      </w:r>
      <w:r>
        <w:rPr>
          <w:color w:val="1A1A1A"/>
          <w:sz w:val="20"/>
          <w:szCs w:val="20"/>
        </w:rPr>
        <w:t xml:space="preserve">AlwaysReady is explicitly a governance tool — it never stores clinical records, care plans, or resident personal data.</w:t>
      </w:r>
    </w:p>
    <w:p>
      <w:pPr>
        <w:pBdr>
          <w:bottom w:val="single" w:color="014D4E" w:sz="6"/>
        </w:pBdr>
        <w:spacing w:after="140" w:before="400"/>
      </w:pPr>
      <w:r>
        <w:rPr>
          <w:b/>
          <w:bCs/>
          <w:color w:val="014D4E"/>
          <w:sz w:val="26"/>
          <w:szCs w:val="26"/>
        </w:rPr>
        <w:t xml:space="preserve">15. Newsletter Drafting</w:t>
      </w:r>
    </w:p>
    <w:p>
      <w:pPr>
        <w:spacing w:after="160"/>
      </w:pPr>
      <w:r>
        <w:rPr>
          <w:i/>
          <w:iCs/>
          <w:color w:val="555555"/>
          <w:sz w:val="20"/>
          <w:szCs w:val="20"/>
        </w:rPr>
        <w:t xml:space="preserve">An AI-assisted drafting tool for care home managers. Generates a ready-to-copy newsletter draft in seconds. Admin access only.</w:t>
      </w:r>
    </w:p>
    <w:p>
      <w:pPr>
        <w:pStyle w:val="ListParagraph"/>
        <w:numPr>
          <w:ilvl w:val="0"/>
          <w:numId w:val="1"/>
        </w:numPr>
        <w:spacing w:after="80"/>
      </w:pPr>
      <w:r>
        <w:rPr>
          <w:b/>
          <w:bCs/>
          <w:color w:val="1A1A1A"/>
          <w:sz w:val="20"/>
          <w:szCs w:val="20"/>
        </w:rPr>
        <w:t xml:space="preserve">AI-powered draft generation — </w:t>
      </w:r>
      <w:r>
        <w:rPr>
          <w:color w:val="1A1A1A"/>
          <w:sz w:val="20"/>
          <w:szCs w:val="20"/>
        </w:rPr>
        <w:t xml:space="preserve">Tell the platform who the newsletter is for, choose a topic or occasion, add any key points, and pick a tone. AlwaysReady generates a ready-to-use draft in seconds using Anthropic's Claude AI.</w:t>
      </w:r>
    </w:p>
    <w:p>
      <w:pPr>
        <w:pStyle w:val="ListParagraph"/>
        <w:numPr>
          <w:ilvl w:val="0"/>
          <w:numId w:val="1"/>
        </w:numPr>
        <w:spacing w:after="80"/>
      </w:pPr>
      <w:r>
        <w:rPr>
          <w:b/>
          <w:bCs/>
          <w:color w:val="1A1A1A"/>
          <w:sz w:val="20"/>
          <w:szCs w:val="20"/>
        </w:rPr>
        <w:t xml:space="preserve">Three audience options — </w:t>
      </w:r>
      <w:r>
        <w:rPr>
          <w:color w:val="1A1A1A"/>
          <w:sz w:val="20"/>
          <w:szCs w:val="20"/>
        </w:rPr>
        <w:t xml:space="preserve">Draft newsletters for your staff team, for families and residents, or for both at once. The opening salutation and tone adjust automatically to match.</w:t>
      </w:r>
    </w:p>
    <w:p>
      <w:pPr>
        <w:pStyle w:val="ListParagraph"/>
        <w:numPr>
          <w:ilvl w:val="0"/>
          <w:numId w:val="1"/>
        </w:numPr>
        <w:spacing w:after="80"/>
      </w:pPr>
      <w:r>
        <w:rPr>
          <w:b/>
          <w:bCs/>
          <w:color w:val="1A1A1A"/>
          <w:sz w:val="20"/>
          <w:szCs w:val="20"/>
        </w:rPr>
        <w:t xml:space="preserve">Common care home occasions built in — </w:t>
      </w:r>
      <w:r>
        <w:rPr>
          <w:color w:val="1A1A1A"/>
          <w:sz w:val="20"/>
          <w:szCs w:val="20"/>
        </w:rPr>
        <w:t xml:space="preserve">Monthly update, upcoming CQC inspection, policy change, seasonal message, staff recognition, CQC rating update, new staff members, and service changes are all pre-loaded as topic options.</w:t>
      </w:r>
    </w:p>
    <w:p>
      <w:pPr>
        <w:pStyle w:val="ListParagraph"/>
        <w:numPr>
          <w:ilvl w:val="0"/>
          <w:numId w:val="1"/>
        </w:numPr>
        <w:spacing w:after="80"/>
      </w:pPr>
      <w:r>
        <w:rPr>
          <w:b/>
          <w:bCs/>
          <w:color w:val="1A1A1A"/>
          <w:sz w:val="20"/>
          <w:szCs w:val="20"/>
        </w:rPr>
        <w:t xml:space="preserve">Tone selector — </w:t>
      </w:r>
      <w:r>
        <w:rPr>
          <w:color w:val="1A1A1A"/>
          <w:sz w:val="20"/>
          <w:szCs w:val="20"/>
        </w:rPr>
        <w:t xml:space="preserve">Choose from Warm and friendly, Professional, or Brief and factual. The writing style adjusts to match your preference and your audience.</w:t>
      </w:r>
    </w:p>
    <w:p>
      <w:pPr>
        <w:pStyle w:val="ListParagraph"/>
        <w:numPr>
          <w:ilvl w:val="0"/>
          <w:numId w:val="1"/>
        </w:numPr>
        <w:spacing w:after="80"/>
      </w:pPr>
      <w:r>
        <w:rPr>
          <w:b/>
          <w:bCs/>
          <w:color w:val="1A1A1A"/>
          <w:sz w:val="20"/>
          <w:szCs w:val="20"/>
        </w:rPr>
        <w:t xml:space="preserve">Key points you supply, copy that reads naturally — </w:t>
      </w:r>
      <w:r>
        <w:rPr>
          <w:color w:val="1A1A1A"/>
          <w:sz w:val="20"/>
          <w:szCs w:val="20"/>
        </w:rPr>
        <w:t xml:space="preserve">Add bullet points or a few lines of notes — dates, names, announcements — and the AI weaves them into a coherent, well-written newsletter. No writing skills needed.</w:t>
      </w:r>
    </w:p>
    <w:p>
      <w:pPr>
        <w:pStyle w:val="ListParagraph"/>
        <w:numPr>
          <w:ilvl w:val="0"/>
          <w:numId w:val="1"/>
        </w:numPr>
        <w:spacing w:after="80"/>
      </w:pPr>
      <w:r>
        <w:rPr>
          <w:b/>
          <w:bCs/>
          <w:color w:val="1A1A1A"/>
          <w:sz w:val="20"/>
          <w:szCs w:val="20"/>
        </w:rPr>
        <w:t xml:space="preserve">One-click copy — </w:t>
      </w:r>
      <w:r>
        <w:rPr>
          <w:color w:val="1A1A1A"/>
          <w:sz w:val="20"/>
          <w:szCs w:val="20"/>
        </w:rPr>
        <w:t xml:space="preserve">Copy the finished draft to your clipboard and paste it directly into your email, WhatsApp message, printed notice, or whatever channel you use to communicate.</w:t>
      </w:r>
    </w:p>
    <w:p>
      <w:pPr>
        <w:pStyle w:val="ListParagraph"/>
        <w:numPr>
          <w:ilvl w:val="0"/>
          <w:numId w:val="1"/>
        </w:numPr>
        <w:spacing w:after="80"/>
      </w:pPr>
      <w:r>
        <w:rPr>
          <w:b/>
          <w:bCs/>
          <w:color w:val="1A1A1A"/>
          <w:sz w:val="20"/>
          <w:szCs w:val="20"/>
        </w:rPr>
        <w:t xml:space="preserve">AlwaysReady never sends on your behalf — </w:t>
      </w:r>
      <w:r>
        <w:rPr>
          <w:color w:val="1A1A1A"/>
          <w:sz w:val="20"/>
          <w:szCs w:val="20"/>
        </w:rPr>
        <w:t xml:space="preserve">This is a drafting tool, not an email platform. You keep full control over what goes out and how.</w:t>
      </w:r>
    </w:p>
    <w:p>
      <w:pPr>
        <w:pStyle w:val="ListParagraph"/>
        <w:numPr>
          <w:ilvl w:val="0"/>
          <w:numId w:val="1"/>
        </w:numPr>
        <w:spacing w:after="80"/>
      </w:pPr>
      <w:r>
        <w:rPr>
          <w:b/>
          <w:bCs/>
          <w:color w:val="1A1A1A"/>
          <w:sz w:val="20"/>
          <w:szCs w:val="20"/>
        </w:rPr>
        <w:t xml:space="preserve">AI safeguards built in — </w:t>
      </w:r>
      <w:r>
        <w:rPr>
          <w:color w:val="1A1A1A"/>
          <w:sz w:val="20"/>
          <w:szCs w:val="20"/>
        </w:rPr>
        <w:t xml:space="preserve">A prominent notice at the top of the tool reminds users not to include personal details of residents, patients, families, or individual staff members. All AI-generated output is a draft for review before use.</w:t>
      </w:r>
    </w:p>
    <w:p>
      <w:pPr>
        <w:pStyle w:val="ListParagraph"/>
        <w:numPr>
          <w:ilvl w:val="0"/>
          <w:numId w:val="1"/>
        </w:numPr>
        <w:spacing w:after="80"/>
      </w:pPr>
      <w:r>
        <w:rPr>
          <w:b/>
          <w:bCs/>
          <w:color w:val="1A1A1A"/>
          <w:sz w:val="20"/>
          <w:szCs w:val="20"/>
        </w:rPr>
        <w:t xml:space="preserve">Monthly usage limit — </w:t>
      </w:r>
      <w:r>
        <w:rPr>
          <w:color w:val="1A1A1A"/>
          <w:sz w:val="20"/>
          <w:szCs w:val="20"/>
        </w:rPr>
        <w:t xml:space="preserve">Each organisation can generate up to 10 newsletter drafts per calendar month, keeping costs predictable and the feature sustainable.</w:t>
      </w:r>
    </w:p>
    <w:p>
      <w:pPr>
        <w:pStyle w:val="ListParagraph"/>
        <w:numPr>
          <w:ilvl w:val="0"/>
          <w:numId w:val="1"/>
        </w:numPr>
        <w:spacing w:after="80"/>
      </w:pPr>
      <w:r>
        <w:rPr>
          <w:b/>
          <w:bCs/>
          <w:color w:val="1A1A1A"/>
          <w:sz w:val="20"/>
          <w:szCs w:val="20"/>
        </w:rPr>
        <w:t xml:space="preserve">Admin access only — </w:t>
      </w:r>
      <w:r>
        <w:rPr>
          <w:color w:val="1A1A1A"/>
          <w:sz w:val="20"/>
          <w:szCs w:val="20"/>
        </w:rPr>
        <w:t xml:space="preserve">Newsletter drafting is available to organisation admins. Staff and viewer logins do not have access.</w:t>
      </w:r>
    </w:p>
    <w:p>
      <w:pPr>
        <w:pBdr>
          <w:bottom w:val="single" w:color="014D4E" w:sz="6"/>
        </w:pBdr>
        <w:spacing w:after="140" w:before="400"/>
      </w:pPr>
      <w:r>
        <w:rPr>
          <w:b/>
          <w:bCs/>
          <w:color w:val="014D4E"/>
          <w:sz w:val="26"/>
          <w:szCs w:val="26"/>
        </w:rPr>
        <w:t xml:space="preserve">16. Mock Inspections</w:t>
      </w:r>
    </w:p>
    <w:p>
      <w:pPr>
        <w:spacing w:after="160"/>
      </w:pPr>
      <w:r>
        <w:rPr>
          <w:i/>
          <w:iCs/>
          <w:color w:val="555555"/>
          <w:sz w:val="20"/>
          <w:szCs w:val="20"/>
        </w:rPr>
        <w:t xml:space="preserve">A self-assessment tool that steps care managers through their KLOEs in the same structure a CQC inspector would use. Produces a prioritised action plan. For guidance only — does not represent the view of CQC.</w:t>
      </w:r>
    </w:p>
    <w:p>
      <w:pPr>
        <w:pStyle w:val="ListParagraph"/>
        <w:numPr>
          <w:ilvl w:val="0"/>
          <w:numId w:val="1"/>
        </w:numPr>
        <w:spacing w:after="80"/>
      </w:pPr>
      <w:r>
        <w:rPr>
          <w:b/>
          <w:bCs/>
          <w:color w:val="1A1A1A"/>
          <w:sz w:val="20"/>
          <w:szCs w:val="20"/>
        </w:rPr>
        <w:t xml:space="preserve">Full or partial inspection — </w:t>
      </w:r>
      <w:r>
        <w:rPr>
          <w:color w:val="1A1A1A"/>
          <w:sz w:val="20"/>
          <w:szCs w:val="20"/>
        </w:rPr>
        <w:t xml:space="preserve">Run a full mock inspection covering all five key questions, or a focused partial inspection on one key question — matching how CQC conducts focused inspections for providers rated Good or above.</w:t>
      </w:r>
    </w:p>
    <w:p>
      <w:pPr>
        <w:pStyle w:val="ListParagraph"/>
        <w:numPr>
          <w:ilvl w:val="0"/>
          <w:numId w:val="1"/>
        </w:numPr>
        <w:spacing w:after="80"/>
      </w:pPr>
      <w:r>
        <w:rPr>
          <w:b/>
          <w:bCs/>
          <w:color w:val="1A1A1A"/>
          <w:sz w:val="20"/>
          <w:szCs w:val="20"/>
        </w:rPr>
        <w:t xml:space="preserve">Steps through every KLOE and I statement — </w:t>
      </w:r>
      <w:r>
        <w:rPr>
          <w:color w:val="1A1A1A"/>
          <w:sz w:val="20"/>
          <w:szCs w:val="20"/>
        </w:rPr>
        <w:t xml:space="preserve">Rate each I statement as Met, Partial, or Not Met. Add notes. Then give each KLOE an overall rating: Outstanding, Good, Requires Improvement, or Inadequate.</w:t>
      </w:r>
    </w:p>
    <w:p>
      <w:pPr>
        <w:pStyle w:val="ListParagraph"/>
        <w:numPr>
          <w:ilvl w:val="0"/>
          <w:numId w:val="1"/>
        </w:numPr>
        <w:spacing w:after="80"/>
      </w:pPr>
      <w:r>
        <w:rPr>
          <w:b/>
          <w:bCs/>
          <w:color w:val="1A1A1A"/>
          <w:sz w:val="20"/>
          <w:szCs w:val="20"/>
        </w:rPr>
        <w:t xml:space="preserve">Three-tier action plan — </w:t>
      </w:r>
      <w:r>
        <w:rPr>
          <w:color w:val="1A1A1A"/>
          <w:sz w:val="20"/>
          <w:szCs w:val="20"/>
        </w:rPr>
        <w:t xml:space="preserve">On completion, a report is generated with findings by key question and a prioritised action plan: Must Address, Strengthen Before Inspection, and Maintain.</w:t>
      </w:r>
    </w:p>
    <w:p>
      <w:pPr>
        <w:pStyle w:val="ListParagraph"/>
        <w:numPr>
          <w:ilvl w:val="0"/>
          <w:numId w:val="1"/>
        </w:numPr>
        <w:spacing w:after="80"/>
      </w:pPr>
      <w:r>
        <w:rPr>
          <w:b/>
          <w:bCs/>
          <w:color w:val="1A1A1A"/>
          <w:sz w:val="20"/>
          <w:szCs w:val="20"/>
        </w:rPr>
        <w:t xml:space="preserve">Forward-looking language — </w:t>
      </w:r>
      <w:r>
        <w:rPr>
          <w:color w:val="1A1A1A"/>
          <w:sz w:val="20"/>
          <w:szCs w:val="20"/>
        </w:rPr>
        <w:t xml:space="preserve">Every action is written as "you need to..." and "we recommend..." — constructive and directive, not a list of failures.</w:t>
      </w:r>
    </w:p>
    <w:p>
      <w:pPr>
        <w:pStyle w:val="ListParagraph"/>
        <w:numPr>
          <w:ilvl w:val="0"/>
          <w:numId w:val="1"/>
        </w:numPr>
        <w:spacing w:after="80"/>
      </w:pPr>
      <w:r>
        <w:rPr>
          <w:b/>
          <w:bCs/>
          <w:color w:val="1A1A1A"/>
          <w:sz w:val="20"/>
          <w:szCs w:val="20"/>
        </w:rPr>
        <w:t xml:space="preserve">Print or save as PDF — </w:t>
      </w:r>
      <w:r>
        <w:rPr>
          <w:color w:val="1A1A1A"/>
          <w:sz w:val="20"/>
          <w:szCs w:val="20"/>
        </w:rPr>
        <w:t xml:space="preserve">The completed report can be printed or saved as a PDF for sharing with your management team, trustees, or board.</w:t>
      </w:r>
    </w:p>
    <w:p>
      <w:pPr>
        <w:pStyle w:val="ListParagraph"/>
        <w:numPr>
          <w:ilvl w:val="0"/>
          <w:numId w:val="1"/>
        </w:numPr>
        <w:spacing w:after="80"/>
      </w:pPr>
      <w:r>
        <w:rPr>
          <w:b/>
          <w:bCs/>
          <w:color w:val="1A1A1A"/>
          <w:sz w:val="20"/>
          <w:szCs w:val="20"/>
        </w:rPr>
        <w:t xml:space="preserve">Admin access only — </w:t>
      </w:r>
      <w:r>
        <w:rPr>
          <w:color w:val="1A1A1A"/>
          <w:sz w:val="20"/>
          <w:szCs w:val="20"/>
        </w:rPr>
        <w:t xml:space="preserve">Mock inspections are available to organisation admins. Included in the standard subscription.</w:t>
      </w:r>
    </w:p>
    <w:p>
      <w:pPr>
        <w:pStyle w:val="ListParagraph"/>
        <w:numPr>
          <w:ilvl w:val="0"/>
          <w:numId w:val="1"/>
        </w:numPr>
        <w:spacing w:after="80"/>
      </w:pPr>
      <w:r>
        <w:rPr>
          <w:b/>
          <w:bCs/>
          <w:color w:val="1A1A1A"/>
          <w:sz w:val="20"/>
          <w:szCs w:val="20"/>
        </w:rPr>
        <w:t xml:space="preserve">Disclaimer built in — </w:t>
      </w:r>
      <w:r>
        <w:rPr>
          <w:color w:val="1A1A1A"/>
          <w:sz w:val="20"/>
          <w:szCs w:val="20"/>
        </w:rPr>
        <w:t xml:space="preserve">A clear disclaimer appears at the start of every mock inspection and on every report: ratings are for self-assessment guidance only and do not represent the view of CQC.</w:t>
      </w:r>
    </w:p>
    <w:p>
      <w:pPr>
        <w:pBdr>
          <w:top w:val="single" w:color="CCCCCC" w:sz="4"/>
        </w:pBdr>
        <w:spacing w:before="480"/>
        <w:jc w:val="center"/>
      </w:pPr>
      <w:r>
        <w:rPr>
          <w:color w:val="555555"/>
          <w:sz w:val="18"/>
          <w:szCs w:val="18"/>
        </w:rPr>
        <w:t xml:space="preserve">AlwaysReady · support@alwaysready.uk · alwaysready.uk</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Jc w:val="left"/>
    </w:lvl>
    <w:lvl w:ilvl="1" w15:tentative="1">
      <w:start w:val="1"/>
      <w:numFmt w:val="bullet"/>
      <w:lvlText w:val="–"/>
      <w:lvlJc w:val="left"/>
      <w:pPr>
        <w:ind w:left="72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2026-07-30T20:48:47.366Z</dcterms:created>
  <dcterms:modified xsi:type="dcterms:W3CDTF">2026-07-30T20:48:47.368Z</dcterms:modified>
</cp:coreProperties>
</file>

<file path=docProps/custom.xml><?xml version="1.0" encoding="utf-8"?>
<Properties xmlns="http://schemas.openxmlformats.org/officeDocument/2006/custom-properties" xmlns:vt="http://schemas.openxmlformats.org/officeDocument/2006/docPropsVTypes"/>
</file>