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14D4E"/>
          <w:sz w:val="60"/>
          <w:szCs w:val="60"/>
        </w:rPr>
        <w:t xml:space="preserve">AlwaysReady</w:t>
      </w:r>
    </w:p>
    <w:p>
      <w:pPr>
        <w:spacing w:after="80" w:before="0"/>
      </w:pPr>
      <w:r>
        <w:rPr>
          <w:color w:val="555555"/>
          <w:sz w:val="26"/>
          <w:szCs w:val="26"/>
        </w:rPr>
        <w:t xml:space="preserve">Terms &amp; Conditions — Solicitor Brief</w:t>
      </w:r>
    </w:p>
    <w:p>
      <w:pPr>
        <w:spacing w:after="400" w:before="0"/>
      </w:pPr>
      <w:r>
        <w:rPr>
          <w:color w:val="555555"/>
          <w:sz w:val="20"/>
          <w:szCs w:val="20"/>
        </w:rPr>
        <w:t xml:space="preserve">Prepared by: Ethna Parker PhD, Founder  |  Date: July 2026  |  For solicitor review and drafting</w:t>
      </w:r>
    </w:p>
    <w:p>
      <w:pPr>
        <w:pBdr>
          <w:left w:val="single" w:color="014D4E" w:sz="24"/>
        </w:pBdr>
        <w:shd w:fill="E6FAF8" w:val="clear"/>
        <w:spacing w:after="200" w:before="200"/>
        <w:ind w:left="720"/>
      </w:pPr>
      <w:r>
        <w:rPr>
          <w:b w:val="false"/>
          <w:bCs w:val="false"/>
          <w:color w:val="014D4E"/>
          <w:sz w:val="23"/>
          <w:szCs w:val="23"/>
        </w:rPr>
        <w:t xml:space="preserve">This document sets out the specific clauses and protections that AlwaysReady requires in its Terms &amp; Conditions, based on the nature of the product and the legal risks identified during product development. It is a briefing document for the drafting solicitor — not a draft T&amp;Cs itself.</w:t>
      </w:r>
    </w:p>
    <w:p>
      <w:pPr>
        <w:spacing w:after="0" w:before="0"/>
      </w:pPr>
      <w:r>
        <w:t xml:space="preserve"/>
      </w:r>
    </w:p>
    <w:p>
      <w:pPr>
        <w:pBdr>
          <w:bottom w:val="single" w:color="DDDDDD" w:sz="6"/>
        </w:pBdr>
        <w:spacing w:after="0" w:before="200"/>
      </w:pPr>
      <w:r>
        <w:t xml:space="preserve"/>
      </w:r>
    </w:p>
    <w:p>
      <w:pPr>
        <w:pStyle w:val="Heading2"/>
        <w:spacing w:after="120" w:before="360"/>
      </w:pPr>
      <w:r>
        <w:rPr>
          <w:b/>
          <w:bCs/>
          <w:color w:val="014D4E"/>
          <w:sz w:val="32"/>
          <w:szCs w:val="32"/>
        </w:rPr>
        <w:t xml:space="preserve">1. Nature of the service — what must be clearly stated</w:t>
      </w:r>
    </w:p>
    <w:p>
      <w:pPr>
        <w:spacing w:after="100" w:before="60"/>
      </w:pPr>
      <w:r>
        <w:rPr>
          <w:color w:val="1A1A1A"/>
          <w:sz w:val="24"/>
          <w:szCs w:val="24"/>
        </w:rPr>
        <w:t xml:space="preserve">The T&amp;Cs must make it unambiguous that AlwaysReady is a self-service software tool, not a professional advisory or consultancy service. The following must be stated explicitly:</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AlwaysReady is a governance organisation tool designed to help CQC-registered adult social care providers organise their compliance activity and prepare for inspection.</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AlwaysReady does not provide regulated professional advice of any kind — including legal, clinical, regulatory, or compliance advice.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platform is provided on an "as is" basis. No warranties — express or implied — are made as to its fitness for any particular purpose.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Use of the platform does not constitute an audit, assessment, or certification of the provider's service.</w:t>
      </w:r>
    </w:p>
    <w:p>
      <w:pPr>
        <w:spacing w:after="0" w:before="0"/>
      </w:pPr>
      <w:r>
        <w:t xml:space="preserve"/>
      </w:r>
    </w:p>
    <w:p>
      <w:pPr>
        <w:pBdr>
          <w:bottom w:val="single" w:color="DDDDDD" w:sz="6"/>
        </w:pBdr>
        <w:spacing w:after="0" w:before="200"/>
      </w:pPr>
      <w:r>
        <w:t xml:space="preserve"/>
      </w:r>
    </w:p>
    <w:p>
      <w:pPr>
        <w:pStyle w:val="Heading2"/>
        <w:spacing w:after="120" w:before="360"/>
      </w:pPr>
      <w:r>
        <w:rPr>
          <w:b/>
          <w:bCs/>
          <w:color w:val="014D4E"/>
          <w:sz w:val="32"/>
          <w:szCs w:val="32"/>
        </w:rPr>
        <w:t xml:space="preserve">2. Limitation of liability</w:t>
      </w:r>
    </w:p>
    <w:p>
      <w:pPr>
        <w:spacing w:after="100" w:before="60"/>
      </w:pPr>
      <w:r>
        <w:rPr>
          <w:color w:val="1A1A1A"/>
          <w:sz w:val="24"/>
          <w:szCs w:val="24"/>
        </w:rPr>
        <w:t xml:space="preserve">The T&amp;Cs must include a clear limitation of liability clause covering the following:</w:t>
      </w:r>
    </w:p>
    <w:p>
      <w:pPr>
        <w:spacing w:after="80" w:before="80"/>
        <w:ind w:left="360" w:hanging="360"/>
      </w:pPr>
      <w:r>
        <w:rPr>
          <w:b/>
          <w:bCs/>
          <w:color w:val="014D4E"/>
          <w:sz w:val="24"/>
          <w:szCs w:val="24"/>
        </w:rPr>
        <w:t xml:space="preserve">•  </w:t>
      </w:r>
      <w:r>
        <w:rPr>
          <w:b/>
          <w:bCs/>
          <w:color w:val="1A1A1A"/>
          <w:sz w:val="24"/>
          <w:szCs w:val="24"/>
        </w:rPr>
        <w:t xml:space="preserve">Cap: </w:t>
      </w:r>
      <w:r>
        <w:rPr>
          <w:color w:val="1A1A1A"/>
          <w:sz w:val="24"/>
          <w:szCs w:val="24"/>
        </w:rPr>
        <w:t xml:space="preserve">AlwaysReady's total liability to the customer in any 12-month period shall not exceed the total subscription fees paid by the customer in that period.</w:t>
      </w:r>
    </w:p>
    <w:p>
      <w:pPr>
        <w:spacing w:after="80" w:before="80"/>
        <w:ind w:left="360" w:hanging="360"/>
      </w:pPr>
      <w:r>
        <w:rPr>
          <w:b/>
          <w:bCs/>
          <w:color w:val="014D4E"/>
          <w:sz w:val="24"/>
          <w:szCs w:val="24"/>
        </w:rPr>
        <w:t xml:space="preserve">•  </w:t>
      </w:r>
      <w:r>
        <w:rPr>
          <w:b/>
          <w:bCs/>
          <w:color w:val="1A1A1A"/>
          <w:sz w:val="24"/>
          <w:szCs w:val="24"/>
        </w:rPr>
        <w:t xml:space="preserve">Excluded losses: </w:t>
      </w:r>
      <w:r>
        <w:rPr>
          <w:color w:val="1A1A1A"/>
          <w:sz w:val="24"/>
          <w:szCs w:val="24"/>
        </w:rPr>
        <w:t xml:space="preserve">AlwaysReady shall not be liable for any indirect, consequential, or special losses, including but not limited to: loss of revenue, loss of business, reputational damage, regulatory penalties, or any outcome arising from a CQC inspection.</w:t>
      </w:r>
    </w:p>
    <w:p>
      <w:pPr>
        <w:spacing w:after="80" w:before="80"/>
        <w:ind w:left="360" w:hanging="360"/>
      </w:pPr>
      <w:r>
        <w:rPr>
          <w:b/>
          <w:bCs/>
          <w:color w:val="014D4E"/>
          <w:sz w:val="24"/>
          <w:szCs w:val="24"/>
        </w:rPr>
        <w:t xml:space="preserve">•  </w:t>
      </w:r>
      <w:r>
        <w:rPr>
          <w:b/>
          <w:bCs/>
          <w:color w:val="1A1A1A"/>
          <w:sz w:val="24"/>
          <w:szCs w:val="24"/>
        </w:rPr>
        <w:t xml:space="preserve">CQC outcomes: </w:t>
      </w:r>
      <w:r>
        <w:rPr>
          <w:color w:val="1A1A1A"/>
          <w:sz w:val="24"/>
          <w:szCs w:val="24"/>
        </w:rPr>
        <w:t xml:space="preserve">CQC inspection outcomes depend on a wide range of factors entirely outside AlwaysReady's knowledge or control. AlwaysReady makes no representation that use of the platform will produce any particular inspection outcome or rating.</w:t>
      </w:r>
    </w:p>
    <w:p>
      <w:pPr>
        <w:spacing w:after="0" w:before="0"/>
      </w:pPr>
      <w:r>
        <w:t xml:space="preserve"/>
      </w:r>
    </w:p>
    <w:p>
      <w:pPr>
        <w:pBdr>
          <w:bottom w:val="single" w:color="DDDDDD" w:sz="6"/>
        </w:pBdr>
        <w:spacing w:after="0" w:before="200"/>
      </w:pPr>
      <w:r>
        <w:t xml:space="preserve"/>
      </w:r>
    </w:p>
    <w:p>
      <w:pPr>
        <w:pStyle w:val="Heading2"/>
        <w:spacing w:after="120" w:before="360"/>
      </w:pPr>
      <w:r>
        <w:rPr>
          <w:b/>
          <w:bCs/>
          <w:color w:val="014D4E"/>
          <w:sz w:val="32"/>
          <w:szCs w:val="32"/>
        </w:rPr>
        <w:t xml:space="preserve">3. Self-assessment tools — readiness score and RAG status</w:t>
      </w:r>
    </w:p>
    <w:p>
      <w:pPr>
        <w:spacing w:after="100" w:before="60"/>
      </w:pPr>
      <w:r>
        <w:rPr>
          <w:color w:val="1A1A1A"/>
          <w:sz w:val="24"/>
          <w:szCs w:val="24"/>
        </w:rPr>
        <w:t xml:space="preserve">Two features of the platform carry specific risk of being misread as external assessments or guarantees:</w:t>
      </w:r>
    </w:p>
    <w:p>
      <w:pPr>
        <w:pStyle w:val="Heading3"/>
        <w:spacing w:after="80" w:before="280"/>
      </w:pPr>
      <w:r>
        <w:rPr>
          <w:b/>
          <w:bCs/>
          <w:color w:val="1A1A1A"/>
          <w:sz w:val="26"/>
          <w:szCs w:val="26"/>
        </w:rPr>
        <w:t xml:space="preserve">3a. Readiness score</w:t>
      </w:r>
    </w:p>
    <w:p>
      <w:pPr>
        <w:spacing w:after="100" w:before="60"/>
      </w:pPr>
      <w:r>
        <w:rPr>
          <w:color w:val="1A1A1A"/>
          <w:sz w:val="24"/>
          <w:szCs w:val="24"/>
        </w:rPr>
        <w:t xml:space="preserve">The readiness score displayed on the dashboard is calculated solely from the data the provider enters. The T&amp;Cs must state: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readiness score is a self-assessment indicator based on the provider's own inputs. It does not represent an independent assessment of the provider's service.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A high readiness score does not predict, imply, or guarantee any particular CQC rating or inspection outcome.</w:t>
      </w:r>
    </w:p>
    <w:p>
      <w:pPr>
        <w:pStyle w:val="Heading3"/>
        <w:spacing w:after="80" w:before="280"/>
      </w:pPr>
      <w:r>
        <w:rPr>
          <w:b/>
          <w:bCs/>
          <w:color w:val="1A1A1A"/>
          <w:sz w:val="26"/>
          <w:szCs w:val="26"/>
        </w:rPr>
        <w:t xml:space="preserve">3b. RAG status (Red / Amber / Green)</w:t>
      </w:r>
    </w:p>
    <w:p>
      <w:pPr>
        <w:spacing w:after="100" w:before="60"/>
      </w:pPr>
      <w:r>
        <w:rPr>
          <w:color w:val="1A1A1A"/>
          <w:sz w:val="24"/>
          <w:szCs w:val="24"/>
        </w:rPr>
        <w:t xml:space="preserve">RAG status is calculated from the provider's self-recorded review dates and completion statuses. The T&amp;Cs must state: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RAG status indicators are derived from the provider's own activity records within the platform. They do not reflect an external audit or CQC's view of the service.</w:t>
      </w:r>
    </w:p>
    <w:p>
      <w:pPr>
        <w:spacing w:after="0" w:before="0"/>
      </w:pPr>
      <w:r>
        <w:t xml:space="preserve"/>
      </w:r>
    </w:p>
    <w:p>
      <w:pPr>
        <w:pBdr>
          <w:bottom w:val="single" w:color="DDDDDD" w:sz="6"/>
        </w:pBdr>
        <w:spacing w:after="0" w:before="200"/>
      </w:pPr>
      <w:r>
        <w:t xml:space="preserve"/>
      </w:r>
    </w:p>
    <w:p>
      <w:pPr>
        <w:pStyle w:val="Heading2"/>
        <w:spacing w:after="120" w:before="360"/>
      </w:pPr>
      <w:r>
        <w:rPr>
          <w:b/>
          <w:bCs/>
          <w:color w:val="014D4E"/>
          <w:sz w:val="32"/>
          <w:szCs w:val="32"/>
        </w:rPr>
        <w:t xml:space="preserve">4. Inspection pack</w:t>
      </w:r>
    </w:p>
    <w:p>
      <w:pPr>
        <w:spacing w:after="100" w:before="60"/>
      </w:pPr>
      <w:r>
        <w:rPr>
          <w:color w:val="1A1A1A"/>
          <w:sz w:val="24"/>
          <w:szCs w:val="24"/>
        </w:rPr>
        <w:t xml:space="preserve">The platform allows providers to generate and download a printable Inspection Pack summarising their compliance records. The T&amp;Cs must state: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Inspection Pack is a self-compiled summary of the provider's own records as entered into the platform. It is not a certification of compliance, an audit report, or an assessment of the provider's readiness for inspection.</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provider is solely responsible for the accuracy, completeness, and currency of the information contained in the Inspection Pack.</w:t>
      </w:r>
    </w:p>
    <w:p>
      <w:pPr>
        <w:spacing w:after="0" w:before="0"/>
      </w:pPr>
      <w:r>
        <w:t xml:space="preserve"/>
      </w:r>
    </w:p>
    <w:p>
      <w:pPr>
        <w:pBdr>
          <w:bottom w:val="single" w:color="DDDDDD" w:sz="6"/>
        </w:pBdr>
        <w:spacing w:after="0" w:before="200"/>
      </w:pPr>
      <w:r>
        <w:t xml:space="preserve"/>
      </w:r>
    </w:p>
    <w:p>
      <w:pPr>
        <w:pStyle w:val="Heading2"/>
        <w:spacing w:after="120" w:before="360"/>
      </w:pPr>
      <w:r>
        <w:rPr>
          <w:b/>
          <w:bCs/>
          <w:color w:val="014D4E"/>
          <w:sz w:val="32"/>
          <w:szCs w:val="32"/>
        </w:rPr>
        <w:t xml:space="preserve">5. AI newsletter drafting tool</w:t>
      </w:r>
    </w:p>
    <w:p>
      <w:pPr>
        <w:spacing w:after="100" w:before="60"/>
      </w:pPr>
      <w:r>
        <w:rPr>
          <w:color w:val="1A1A1A"/>
          <w:sz w:val="24"/>
          <w:szCs w:val="24"/>
        </w:rPr>
        <w:t xml:space="preserve">The platform includes an AI-powered newsletter drafting tool (admin users only, limited to 10 generations per organisation per calendar month). The T&amp;Cs must address:</w:t>
      </w:r>
    </w:p>
    <w:p>
      <w:pPr>
        <w:pStyle w:val="Heading3"/>
        <w:spacing w:after="80" w:before="280"/>
      </w:pPr>
      <w:r>
        <w:rPr>
          <w:b/>
          <w:bCs/>
          <w:color w:val="1A1A1A"/>
          <w:sz w:val="26"/>
          <w:szCs w:val="26"/>
        </w:rPr>
        <w:t xml:space="preserve">5a. AI-generated output</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Newsletter drafts are generated by artificial intelligence. AlwaysReady does not warrant the accuracy, suitability, or completeness of AI-generated content.</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provider is solely responsible for reviewing, editing, and approving any AI-generated draft before use. AlwaysReady accepts no liability for any loss or harm arising from the use of unreviewed AI-generated content.</w:t>
      </w:r>
    </w:p>
    <w:p>
      <w:pPr>
        <w:pStyle w:val="Heading3"/>
        <w:spacing w:after="80" w:before="280"/>
      </w:pPr>
      <w:r>
        <w:rPr>
          <w:b/>
          <w:bCs/>
          <w:color w:val="1A1A1A"/>
          <w:sz w:val="26"/>
          <w:szCs w:val="26"/>
        </w:rPr>
        <w:t xml:space="preserve">5b. Personal data — provider's obligation</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provider must not enter personal data relating to residents, patients, family members, or individual staff members into the AI newsletter drafting tool. "Personal data" for this purpose includes names, health information, care needs, HR information, and any other information capable of identifying a living individual.</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Any breach of data protection law arising from a provider entering personal data into the AI tool is the sole responsibility of the provider. AlwaysReady accepts no liability for such breaches.</w:t>
      </w:r>
    </w:p>
    <w:p>
      <w:pPr>
        <w:pStyle w:val="Heading3"/>
        <w:spacing w:after="80" w:before="280"/>
      </w:pPr>
      <w:r>
        <w:rPr>
          <w:b/>
          <w:bCs/>
          <w:color w:val="1A1A1A"/>
          <w:sz w:val="26"/>
          <w:szCs w:val="26"/>
        </w:rPr>
        <w:t xml:space="preserve">5c. Output handling</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AI tool generates draft text for the provider to copy and use in their own communications. AlwaysReady does not transmit, store, or send the generated content on the provider's behalf.</w:t>
      </w:r>
    </w:p>
    <w:p>
      <w:pPr>
        <w:spacing w:after="0" w:before="0"/>
      </w:pPr>
      <w:r>
        <w:t xml:space="preserve"/>
      </w:r>
    </w:p>
    <w:p>
      <w:pPr>
        <w:pBdr>
          <w:bottom w:val="single" w:color="DDDDDD" w:sz="6"/>
        </w:pBdr>
        <w:spacing w:after="0" w:before="200"/>
      </w:pPr>
      <w:r>
        <w:t xml:space="preserve"/>
      </w:r>
    </w:p>
    <w:p>
      <w:pPr>
        <w:pStyle w:val="Heading2"/>
        <w:spacing w:after="120" w:before="360"/>
      </w:pPr>
      <w:r>
        <w:rPr>
          <w:b/>
          <w:bCs/>
          <w:color w:val="014D4E"/>
          <w:sz w:val="32"/>
          <w:szCs w:val="32"/>
        </w:rPr>
        <w:t xml:space="preserve">6. Data — governance only, never clinical</w:t>
      </w:r>
    </w:p>
    <w:p>
      <w:pPr>
        <w:spacing w:after="100" w:before="60"/>
      </w:pPr>
      <w:r>
        <w:rPr>
          <w:color w:val="1A1A1A"/>
          <w:sz w:val="24"/>
          <w:szCs w:val="24"/>
        </w:rPr>
        <w:t xml:space="preserve">AlwaysReady is a governance platform. The T&amp;Cs must state clearly:</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AlwaysReady does not store, process, or receive individual resident or patient clinical data, care plans, medication records, daily care notes, or any data that identifies a specific individual in the provider's care.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platform is designed and operated on a governance-only basis. Any attempt by the provider to upload clinical or patient-identifiable data falls outside the intended use of the platform.</w:t>
      </w:r>
    </w:p>
    <w:p>
      <w:pPr>
        <w:spacing w:after="0" w:before="0"/>
      </w:pPr>
      <w:r>
        <w:t xml:space="preserve"/>
      </w:r>
    </w:p>
    <w:p>
      <w:pPr>
        <w:pBdr>
          <w:bottom w:val="single" w:color="DDDDDD" w:sz="6"/>
        </w:pBdr>
        <w:spacing w:after="0" w:before="200"/>
      </w:pPr>
      <w:r>
        <w:t xml:space="preserve"/>
      </w:r>
    </w:p>
    <w:p>
      <w:pPr>
        <w:pStyle w:val="Heading2"/>
        <w:spacing w:after="120" w:before="360"/>
      </w:pPr>
      <w:r>
        <w:rPr>
          <w:b/>
          <w:bCs/>
          <w:color w:val="014D4E"/>
          <w:sz w:val="32"/>
          <w:szCs w:val="32"/>
        </w:rPr>
        <w:t xml:space="preserve">7. Future DSCR integrations</w:t>
      </w:r>
    </w:p>
    <w:p>
      <w:pPr>
        <w:spacing w:after="100" w:before="60"/>
      </w:pPr>
      <w:r>
        <w:rPr>
          <w:color w:val="1A1A1A"/>
          <w:sz w:val="24"/>
          <w:szCs w:val="24"/>
        </w:rPr>
        <w:t xml:space="preserve">AlwaysReady intends to offer integrations with Digital Social Care Record (DSCR) systems in future. When those integrations are built, the T&amp;Cs (or a supplemental Data Processing Agreement) must include: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Any DSCR integration will be scoped to receive governance-level data only (e.g. incident counts, training completion dates, audit completion records). AlwaysReady will not request or receive individual resident records, care plans, clinical notes, or medication data via any DSCR integration.</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A separate Data Processing Agreement will be put in place with each DSCR provider specifying the categories of data transferred and the legal basis for transfer.</w:t>
      </w:r>
    </w:p>
    <w:p>
      <w:pPr>
        <w:spacing w:after="100" w:before="60"/>
      </w:pPr>
      <w:r>
        <w:rPr>
          <w:color w:val="555555"/>
          <w:sz w:val="22"/>
          <w:szCs w:val="22"/>
        </w:rPr>
        <w:t xml:space="preserve">Note: DSCR integrations are not yet live. This section is included so the solicitor can draft forward-looking provisions that will not need to be rewritten when integrations launch.</w:t>
      </w:r>
    </w:p>
    <w:p>
      <w:pPr>
        <w:spacing w:after="0" w:before="0"/>
      </w:pPr>
      <w:r>
        <w:t xml:space="preserve"/>
      </w:r>
    </w:p>
    <w:p>
      <w:pPr>
        <w:pBdr>
          <w:bottom w:val="single" w:color="DDDDDD" w:sz="6"/>
        </w:pBdr>
        <w:spacing w:after="0" w:before="200"/>
      </w:pPr>
      <w:r>
        <w:t xml:space="preserve"/>
      </w:r>
    </w:p>
    <w:p>
      <w:pPr>
        <w:pStyle w:val="Heading2"/>
        <w:spacing w:after="120" w:before="360"/>
      </w:pPr>
      <w:r>
        <w:rPr>
          <w:b/>
          <w:bCs/>
          <w:color w:val="014D4E"/>
          <w:sz w:val="32"/>
          <w:szCs w:val="32"/>
        </w:rPr>
        <w:t xml:space="preserve">8. T&amp;Cs acceptance at signup</w:t>
      </w:r>
    </w:p>
    <w:p>
      <w:pPr>
        <w:spacing w:after="100" w:before="60"/>
      </w:pPr>
      <w:r>
        <w:rPr>
          <w:color w:val="1A1A1A"/>
          <w:sz w:val="24"/>
          <w:szCs w:val="24"/>
        </w:rPr>
        <w:t xml:space="preserve">The T&amp;Cs must be accepted by a positive action (checkbox) at the point of trial signup, before the provider accesses the platform. The following is required:</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acceptance event (timestamp, IP address, user email, version of T&amp;Cs accepted) should be logged by the platform for evidential purposes.</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The T&amp;Cs version must be numbered and dated so that the accepted version can be identified in any dispute.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If the T&amp;Cs are updated materially, existing users must be notified and asked to re-accept before continued use.</w:t>
      </w:r>
    </w:p>
    <w:p>
      <w:pPr>
        <w:spacing w:after="0" w:before="0"/>
      </w:pPr>
      <w:r>
        <w:t xml:space="preserve"/>
      </w:r>
    </w:p>
    <w:p>
      <w:pPr>
        <w:pBdr>
          <w:bottom w:val="single" w:color="DDDDDD" w:sz="6"/>
        </w:pBdr>
        <w:spacing w:after="0" w:before="200"/>
      </w:pPr>
      <w:r>
        <w:t xml:space="preserve"/>
      </w:r>
    </w:p>
    <w:p>
      <w:pPr>
        <w:pStyle w:val="Heading2"/>
        <w:spacing w:after="120" w:before="360"/>
      </w:pPr>
      <w:r>
        <w:rPr>
          <w:b/>
          <w:bCs/>
          <w:color w:val="014D4E"/>
          <w:sz w:val="32"/>
          <w:szCs w:val="32"/>
        </w:rPr>
        <w:t xml:space="preserve">9. Sole trader — personal liability note</w:t>
      </w:r>
    </w:p>
    <w:p>
      <w:pPr>
        <w:spacing w:after="100" w:before="60"/>
      </w:pPr>
      <w:r>
        <w:rPr>
          <w:color w:val="1A1A1A"/>
          <w:sz w:val="24"/>
          <w:szCs w:val="24"/>
        </w:rPr>
        <w:t xml:space="preserve">AlwaysReady is operated by Ethna Parker PhD trading as a sole trader (Parker Digital &amp; Print Services). The solicitor should advise on:</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Whether a trading name / business name registration is advisable.</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How to structure the T&amp;Cs to maximise the protection afforded by the limitation of liability clause given sole trader status (no corporate veil).</w:t>
      </w:r>
    </w:p>
    <w:p>
      <w:pPr>
        <w:spacing w:after="80" w:before="80"/>
        <w:ind w:left="360" w:hanging="360"/>
      </w:pPr>
      <w:r>
        <w:rPr>
          <w:b/>
          <w:bCs/>
          <w:color w:val="014D4E"/>
          <w:sz w:val="24"/>
          <w:szCs w:val="24"/>
        </w:rPr>
        <w:t xml:space="preserve">•  </w:t>
      </w:r>
      <w:r>
        <w:rPr>
          <w:sz w:val="24"/>
          <w:szCs w:val="24"/>
        </w:rPr>
        <w:t xml:space="preserve"/>
      </w:r>
      <w:r>
        <w:rPr>
          <w:color w:val="1A1A1A"/>
          <w:sz w:val="24"/>
          <w:szCs w:val="24"/>
        </w:rPr>
        <w:t xml:space="preserve">Whether any additional indemnity language is appropriate given that professional indemnity and public liability insurance are being obtained.</w:t>
      </w:r>
    </w:p>
    <w:p>
      <w:pPr>
        <w:spacing w:after="0" w:before="0"/>
      </w:pPr>
      <w:r>
        <w:t xml:space="preserve"/>
      </w:r>
    </w:p>
    <w:p>
      <w:pPr>
        <w:pBdr>
          <w:bottom w:val="single" w:color="DDDDDD" w:sz="6"/>
        </w:pBdr>
        <w:spacing w:after="0" w:before="200"/>
      </w:pPr>
      <w:r>
        <w:t xml:space="preserve"/>
      </w:r>
    </w:p>
    <w:p>
      <w:pPr>
        <w:spacing w:after="80" w:before="300"/>
      </w:pPr>
      <w:r>
        <w:rPr>
          <w:b/>
          <w:bCs/>
          <w:color w:val="555555"/>
          <w:sz w:val="20"/>
          <w:szCs w:val="20"/>
        </w:rPr>
        <w:t xml:space="preserve">Document notes</w:t>
      </w:r>
    </w:p>
    <w:p>
      <w:pPr>
        <w:spacing w:after="100" w:before="60"/>
      </w:pPr>
      <w:r>
        <w:rPr>
          <w:color w:val="555555"/>
          <w:sz w:val="22"/>
          <w:szCs w:val="22"/>
        </w:rPr>
        <w:t xml:space="preserve">This brief was compiled during product development and reflects the specific features and risk profile of the AlwaysReady platform as at July 2026. The solicitor should review all clauses in the context of current UK consumer and B2B contract law, UK GDPR, and any sector-specific regulation applicable to software tools used in CQC-regulated settings.</w:t>
      </w:r>
    </w:p>
    <w:p>
      <w:pPr>
        <w:spacing w:after="100" w:before="60"/>
      </w:pPr>
      <w:r>
        <w:rPr>
          <w:color w:val="555555"/>
          <w:sz w:val="22"/>
          <w:szCs w:val="22"/>
        </w:rPr>
        <w:t xml:space="preserve">Related documents: Privacy Policy (drafted), Data Retention Policy (draft), Data Security Statement (draft). These are available for solicitor review 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AlwaysReady — T&amp;Cs Solicitor Brief</dc:title>
  <dc:creator>AlwaysReady</dc:creator>
  <cp:lastModifiedBy>Un-named</cp:lastModifiedBy>
  <cp:revision>1</cp:revision>
  <dcterms:created xsi:type="dcterms:W3CDTF">2026-07-30T19:30:58.367Z</dcterms:created>
  <dcterms:modified xsi:type="dcterms:W3CDTF">2026-07-30T19:30:58.368Z</dcterms:modified>
</cp:coreProperties>
</file>

<file path=docProps/custom.xml><?xml version="1.0" encoding="utf-8"?>
<Properties xmlns="http://schemas.openxmlformats.org/officeDocument/2006/custom-properties" xmlns:vt="http://schemas.openxmlformats.org/officeDocument/2006/docPropsVTypes"/>
</file>