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14D4E"/>
          <w:sz w:val="64"/>
          <w:szCs w:val="64"/>
        </w:rPr>
        <w:t xml:space="preserve">AlwaysReady</w:t>
      </w:r>
    </w:p>
    <w:p>
      <w:pPr>
        <w:spacing w:after="400" w:before="0"/>
      </w:pPr>
      <w:r>
        <w:rPr>
          <w:color w:val="555555"/>
          <w:sz w:val="24"/>
          <w:szCs w:val="24"/>
        </w:rPr>
        <w:t xml:space="preserve">Website Copy — DSCR Integration &amp; Digital Readiness</w:t>
      </w:r>
    </w:p>
    <w:p>
      <w:pPr>
        <w:spacing w:after="60" w:before="320"/>
      </w:pPr>
      <w:r>
        <w:rPr>
          <w:b/>
          <w:bCs/>
          <w:color w:val="014D4E"/>
          <w:sz w:val="18"/>
          <w:szCs w:val="18"/>
        </w:rPr>
        <w:t xml:space="preserve">HERO SECTION</w:t>
      </w:r>
    </w:p>
    <w:p>
      <w:pPr>
        <w:pStyle w:val="Heading1"/>
        <w:spacing w:after="160" w:before="400"/>
      </w:pPr>
      <w:r>
        <w:rPr>
          <w:b/>
          <w:bCs/>
          <w:color w:val="014D4E"/>
          <w:sz w:val="52"/>
          <w:szCs w:val="52"/>
        </w:rPr>
        <w:t xml:space="preserve">Built for the future of social care</w:t>
      </w:r>
    </w:p>
    <w:p>
      <w:pPr>
        <w:spacing w:after="120" w:before="80"/>
      </w:pPr>
      <w:r>
        <w:rPr>
          <w:b w:val="false"/>
          <w:bCs w:val="false"/>
          <w:color w:val="1A1A1A"/>
          <w:sz w:val="24"/>
          <w:szCs w:val="24"/>
        </w:rPr>
        <w:t xml:space="preserve">The government has set a clear direction: every CQC-registered care provider should be fully digitised by the end of this parliament. That means digital care records, standardised data, and connected systems across health and social care.</w:t>
      </w:r>
    </w:p>
    <w:p>
      <w:pPr>
        <w:spacing w:after="120" w:before="80"/>
      </w:pPr>
      <w:r>
        <w:rPr>
          <w:b w:val="false"/>
          <w:bCs w:val="false"/>
          <w:color w:val="1A1A1A"/>
          <w:sz w:val="24"/>
          <w:szCs w:val="24"/>
        </w:rPr>
        <w:t xml:space="preserve">AlwaysReady is ready for it. And so are your customers.</w:t>
      </w:r>
    </w:p>
    <w:p>
      <w:pPr>
        <w:spacing w:after="0" w:before="0"/>
      </w:pPr>
      <w:r>
        <w:t xml:space="preserve"/>
      </w:r>
    </w:p>
    <w:p>
      <w:pPr>
        <w:spacing w:after="60" w:before="320"/>
      </w:pPr>
      <w:r>
        <w:rPr>
          <w:b/>
          <w:bCs/>
          <w:color w:val="014D4E"/>
          <w:sz w:val="18"/>
          <w:szCs w:val="18"/>
        </w:rPr>
        <w:t xml:space="preserve">CONTEXT SECTION</w:t>
      </w:r>
    </w:p>
    <w:p>
      <w:pPr>
        <w:pStyle w:val="Heading2"/>
        <w:spacing w:after="120" w:before="360"/>
      </w:pPr>
      <w:r>
        <w:rPr>
          <w:b/>
          <w:bCs/>
          <w:color w:val="014D4E"/>
          <w:sz w:val="36"/>
          <w:szCs w:val="36"/>
        </w:rPr>
        <w:t xml:space="preserve">The digital care landscape is changing fast</w:t>
      </w:r>
    </w:p>
    <w:p>
      <w:pPr>
        <w:spacing w:after="120" w:before="80"/>
      </w:pPr>
      <w:r>
        <w:rPr>
          <w:b w:val="false"/>
          <w:bCs w:val="false"/>
          <w:color w:val="1A1A1A"/>
          <w:sz w:val="24"/>
          <w:szCs w:val="24"/>
        </w:rPr>
        <w:t xml:space="preserve">Digital Social Care Records (DSCRs) are now used by more than 80% of care providers in England, and NHS England has an assured list of approved systems. The government's Minimum Operational Data Standard (MODS) — the national framework for how care data must be structured — is already being adopted by the market's leading platforms.</w:t>
      </w:r>
    </w:p>
    <w:p>
      <w:pPr>
        <w:spacing w:after="120" w:before="80"/>
      </w:pPr>
      <w:r>
        <w:rPr>
          <w:b w:val="false"/>
          <w:bCs w:val="false"/>
          <w:color w:val="1A1A1A"/>
          <w:sz w:val="24"/>
          <w:szCs w:val="24"/>
        </w:rPr>
        <w:t xml:space="preserve">This is not a future trend. It is happening now. And it creates an opportunity that forward-thinking providers are already seizing.</w:t>
      </w:r>
    </w:p>
    <w:p>
      <w:pPr>
        <w:spacing w:after="0" w:before="0"/>
      </w:pPr>
      <w:r>
        <w:t xml:space="preserve"/>
      </w:r>
    </w:p>
    <w:p>
      <w:pPr>
        <w:pBdr>
          <w:left w:val="single" w:color="014D4E" w:sz="24"/>
        </w:pBdr>
        <w:shd w:fill="E6FAF8" w:val="clear"/>
        <w:spacing w:after="200" w:before="200"/>
        <w:ind w:left="720"/>
      </w:pPr>
      <w:r>
        <w:rPr>
          <w:b/>
          <w:bCs/>
          <w:i w:val="false"/>
          <w:iCs w:val="false"/>
          <w:color w:val="014D4E"/>
          <w:sz w:val="26"/>
          <w:szCs w:val="26"/>
        </w:rPr>
        <w:t xml:space="preserve">"AlwaysReady is already built to connect with leading DSCR systems as the standard matures — so your governance layer is ready the moment the connection is."</w:t>
      </w:r>
    </w:p>
    <w:p>
      <w:pPr>
        <w:spacing w:after="0" w:before="0"/>
      </w:pPr>
      <w:r>
        <w:t xml:space="preserve"/>
      </w:r>
    </w:p>
    <w:p>
      <w:pPr>
        <w:spacing w:after="60" w:before="320"/>
      </w:pPr>
      <w:r>
        <w:rPr>
          <w:b/>
          <w:bCs/>
          <w:color w:val="014D4E"/>
          <w:sz w:val="18"/>
          <w:szCs w:val="18"/>
        </w:rPr>
        <w:t xml:space="preserve">PROBLEM / OPPORTUNITY SECTION</w:t>
      </w:r>
    </w:p>
    <w:p>
      <w:pPr>
        <w:pStyle w:val="Heading2"/>
        <w:spacing w:after="120" w:before="360"/>
      </w:pPr>
      <w:r>
        <w:rPr>
          <w:b/>
          <w:bCs/>
          <w:color w:val="014D4E"/>
          <w:sz w:val="36"/>
          <w:szCs w:val="36"/>
        </w:rPr>
        <w:t xml:space="preserve">DSCRs record care. AlwaysReady governs it.</w:t>
      </w:r>
    </w:p>
    <w:p>
      <w:pPr>
        <w:spacing w:after="120" w:before="80"/>
      </w:pPr>
      <w:r>
        <w:rPr>
          <w:b w:val="false"/>
          <w:bCs w:val="false"/>
          <w:color w:val="1A1A1A"/>
          <w:sz w:val="24"/>
          <w:szCs w:val="24"/>
        </w:rPr>
        <w:t xml:space="preserve">Digital care records capture what happens in care delivery — daily notes, medication rounds, care plan updates. They do this brilliantly. But they are not built to answer the question a CQC inspector will ask: "How do you know your service is safe, effective, caring, responsive and well-led?"</w:t>
      </w:r>
    </w:p>
    <w:p>
      <w:pPr>
        <w:spacing w:after="120" w:before="80"/>
      </w:pPr>
      <w:r>
        <w:rPr>
          <w:b w:val="false"/>
          <w:bCs w:val="false"/>
          <w:color w:val="1A1A1A"/>
          <w:sz w:val="24"/>
          <w:szCs w:val="24"/>
        </w:rPr>
        <w:t xml:space="preserve">That is the governance question. And it requires a different tool.</w:t>
      </w:r>
    </w:p>
    <w:p>
      <w:pPr>
        <w:spacing w:after="120" w:before="80"/>
      </w:pPr>
      <w:r>
        <w:rPr>
          <w:b w:val="false"/>
          <w:bCs w:val="false"/>
          <w:color w:val="1A1A1A"/>
          <w:sz w:val="24"/>
          <w:szCs w:val="24"/>
        </w:rPr>
        <w:t xml:space="preserve">AlwaysReady is the governance layer that sits alongside your DSCR. It takes the evidence your team generates every day — in care records, in HR systems, in training logs — and turns it into a live, structured picture of CQC readiness.</w:t>
      </w:r>
    </w:p>
    <w:p>
      <w:pPr>
        <w:spacing w:after="0" w:before="0"/>
      </w:pPr>
      <w:r>
        <w:t xml:space="preserve"/>
      </w:r>
    </w:p>
    <w:p>
      <w:pPr>
        <w:spacing w:after="60" w:before="320"/>
      </w:pPr>
      <w:r>
        <w:rPr>
          <w:b/>
          <w:bCs/>
          <w:color w:val="014D4E"/>
          <w:sz w:val="18"/>
          <w:szCs w:val="18"/>
        </w:rPr>
        <w:t xml:space="preserve">INTEGRATION SECTION</w:t>
      </w:r>
    </w:p>
    <w:p>
      <w:pPr>
        <w:pStyle w:val="Heading2"/>
        <w:spacing w:after="120" w:before="360"/>
      </w:pPr>
      <w:r>
        <w:rPr>
          <w:b/>
          <w:bCs/>
          <w:color w:val="014D4E"/>
          <w:sz w:val="36"/>
          <w:szCs w:val="36"/>
        </w:rPr>
        <w:t xml:space="preserve">Connected care. Connected compliance.</w:t>
      </w:r>
    </w:p>
    <w:p>
      <w:pPr>
        <w:spacing w:after="120" w:before="80"/>
      </w:pPr>
      <w:r>
        <w:rPr>
          <w:b w:val="false"/>
          <w:bCs w:val="false"/>
          <w:color w:val="1A1A1A"/>
          <w:sz w:val="24"/>
          <w:szCs w:val="24"/>
        </w:rPr>
        <w:t xml:space="preserve">AlwaysReady is being built to connect directly with leading DSCR systems including Person Centred Software (PCS), Nourish, and others on the NHS Assured Solutions List. When those connections go live, governance evidence will flow automatically — no duplication, no manual re-entry.</w:t>
      </w:r>
    </w:p>
    <w:p>
      <w:pPr>
        <w:spacing w:after="120" w:before="80"/>
      </w:pPr>
      <w:r>
        <w:rPr>
          <w:b w:val="false"/>
          <w:bCs w:val="false"/>
          <w:color w:val="1A1A1A"/>
          <w:sz w:val="24"/>
          <w:szCs w:val="24"/>
        </w:rPr>
        <w:t xml:space="preserve">In the meantime, every record entered into AlwaysReady today is already structured and tagged to receive that data cleanly. Nothing will need to be rebuilt when the connection arrives.</w:t>
      </w:r>
    </w:p>
    <w:p>
      <w:pPr>
        <w:spacing w:after="0" w:before="0"/>
      </w:pPr>
      <w:r>
        <w:t xml:space="preserve"/>
      </w:r>
    </w:p>
    <w:p>
      <w:pPr>
        <w:spacing w:after="120" w:before="80"/>
      </w:pPr>
      <w:r>
        <w:rPr>
          <w:b/>
          <w:bCs/>
          <w:color w:val="1A1A1A"/>
          <w:sz w:val="24"/>
          <w:szCs w:val="24"/>
        </w:rPr>
        <w:t xml:space="preserve">What integration will mean in practice:</w:t>
      </w:r>
    </w:p>
    <w:p>
      <w:pPr>
        <w:spacing w:after="60" w:before="60"/>
        <w:ind w:left="360" w:hanging="360"/>
      </w:pPr>
      <w:r>
        <w:rPr>
          <w:b/>
          <w:bCs/>
          <w:color w:val="014D4E"/>
          <w:sz w:val="24"/>
          <w:szCs w:val="24"/>
        </w:rPr>
        <w:t xml:space="preserve">•  </w:t>
      </w:r>
      <w:r>
        <w:rPr>
          <w:color w:val="1A1A1A"/>
          <w:sz w:val="24"/>
          <w:szCs w:val="24"/>
        </w:rPr>
        <w:t xml:space="preserve">Incident and accident data from your DSCR automatically flagged as evidence against the Safe KLOE</w:t>
      </w:r>
    </w:p>
    <w:p>
      <w:pPr>
        <w:spacing w:after="60" w:before="60"/>
        <w:ind w:left="360" w:hanging="360"/>
      </w:pPr>
      <w:r>
        <w:rPr>
          <w:b/>
          <w:bCs/>
          <w:color w:val="014D4E"/>
          <w:sz w:val="24"/>
          <w:szCs w:val="24"/>
        </w:rPr>
        <w:t xml:space="preserve">•  </w:t>
      </w:r>
      <w:r>
        <w:rPr>
          <w:color w:val="1A1A1A"/>
          <w:sz w:val="24"/>
          <w:szCs w:val="24"/>
        </w:rPr>
        <w:t xml:space="preserve">Training completion records from your care system feeding directly into your HR compliance dashboard</w:t>
      </w:r>
    </w:p>
    <w:p>
      <w:pPr>
        <w:spacing w:after="60" w:before="60"/>
        <w:ind w:left="360" w:hanging="360"/>
      </w:pPr>
      <w:r>
        <w:rPr>
          <w:b/>
          <w:bCs/>
          <w:color w:val="014D4E"/>
          <w:sz w:val="24"/>
          <w:szCs w:val="24"/>
        </w:rPr>
        <w:t xml:space="preserve">•  </w:t>
      </w:r>
      <w:r>
        <w:rPr>
          <w:color w:val="1A1A1A"/>
          <w:sz w:val="24"/>
          <w:szCs w:val="24"/>
        </w:rPr>
        <w:t xml:space="preserve">Care plan review dates surfaced as CQC evidence without anyone typing a single extra entry</w:t>
      </w:r>
    </w:p>
    <w:p>
      <w:pPr>
        <w:spacing w:after="60" w:before="60"/>
        <w:ind w:left="360" w:hanging="360"/>
      </w:pPr>
      <w:r>
        <w:rPr>
          <w:b/>
          <w:bCs/>
          <w:color w:val="014D4E"/>
          <w:sz w:val="24"/>
          <w:szCs w:val="24"/>
        </w:rPr>
        <w:t xml:space="preserve">•  </w:t>
      </w:r>
      <w:r>
        <w:rPr>
          <w:color w:val="1A1A1A"/>
          <w:sz w:val="24"/>
          <w:szCs w:val="24"/>
        </w:rPr>
        <w:t xml:space="preserve">A single, live governance picture — drawn from every system your team already uses</w:t>
      </w:r>
    </w:p>
    <w:p>
      <w:pPr>
        <w:spacing w:after="0" w:before="0"/>
      </w:pPr>
      <w:r>
        <w:t xml:space="preserve"/>
      </w:r>
    </w:p>
    <w:p>
      <w:pPr>
        <w:spacing w:after="60" w:before="320"/>
      </w:pPr>
      <w:r>
        <w:rPr>
          <w:b/>
          <w:bCs/>
          <w:color w:val="014D4E"/>
          <w:sz w:val="18"/>
          <w:szCs w:val="18"/>
        </w:rPr>
        <w:t xml:space="preserve">STANDARDS SECTION</w:t>
      </w:r>
    </w:p>
    <w:p>
      <w:pPr>
        <w:pStyle w:val="Heading2"/>
        <w:spacing w:after="120" w:before="360"/>
      </w:pPr>
      <w:r>
        <w:rPr>
          <w:b/>
          <w:bCs/>
          <w:color w:val="014D4E"/>
          <w:sz w:val="36"/>
          <w:szCs w:val="36"/>
        </w:rPr>
        <w:t xml:space="preserve">Aligned with national data standards</w:t>
      </w:r>
    </w:p>
    <w:p>
      <w:pPr>
        <w:spacing w:after="120" w:before="80"/>
      </w:pPr>
      <w:r>
        <w:rPr>
          <w:b w:val="false"/>
          <w:bCs w:val="false"/>
          <w:color w:val="1A1A1A"/>
          <w:sz w:val="24"/>
          <w:szCs w:val="24"/>
        </w:rPr>
        <w:t xml:space="preserve">The Minimum Operational Data Standard (MODS), developed through the government's Digitising Social Care programme, sets out how care data should be recorded and labelled so it can move safely between systems. Person Centred Software confirmed MODS compliance for mCare in July 2026. Other assured solutions are following.</w:t>
      </w:r>
    </w:p>
    <w:p>
      <w:pPr>
        <w:spacing w:after="120" w:before="80"/>
      </w:pPr>
      <w:r>
        <w:rPr>
          <w:b w:val="false"/>
          <w:bCs w:val="false"/>
          <w:color w:val="1A1A1A"/>
          <w:sz w:val="24"/>
          <w:szCs w:val="24"/>
        </w:rPr>
        <w:t xml:space="preserve">AlwaysReady is designed to receive MODS-structured data. As compliance across the DSCR market grows, so does the scope of what AlwaysReady can pull in automatically — without any changes to how your team works.</w:t>
      </w:r>
    </w:p>
    <w:p>
      <w:pPr>
        <w:spacing w:after="0" w:before="0"/>
      </w:pPr>
      <w:r>
        <w:t xml:space="preserve"/>
      </w:r>
    </w:p>
    <w:p>
      <w:pPr>
        <w:spacing w:after="60" w:before="320"/>
      </w:pPr>
      <w:r>
        <w:rPr>
          <w:b/>
          <w:bCs/>
          <w:color w:val="014D4E"/>
          <w:sz w:val="18"/>
          <w:szCs w:val="18"/>
        </w:rPr>
        <w:t xml:space="preserve">WHY ACT NOW SECTION</w:t>
      </w:r>
    </w:p>
    <w:p>
      <w:pPr>
        <w:pStyle w:val="Heading2"/>
        <w:spacing w:after="120" w:before="360"/>
      </w:pPr>
      <w:r>
        <w:rPr>
          <w:b/>
          <w:bCs/>
          <w:color w:val="014D4E"/>
          <w:sz w:val="36"/>
          <w:szCs w:val="36"/>
        </w:rPr>
        <w:t xml:space="preserve">Why this matters right now</w:t>
      </w:r>
    </w:p>
    <w:p>
      <w:pPr>
        <w:spacing w:after="120" w:before="80"/>
      </w:pPr>
      <w:r>
        <w:rPr>
          <w:b w:val="false"/>
          <w:bCs w:val="false"/>
          <w:color w:val="1A1A1A"/>
          <w:sz w:val="24"/>
          <w:szCs w:val="24"/>
        </w:rPr>
        <w:t xml:space="preserve">Providers who have AlwaysReady in place today are not just better prepared for their next CQC inspection. They are ahead of a digitisation agenda that will reshape the expectations placed on every registered manager in England.</w:t>
      </w:r>
    </w:p>
    <w:p>
      <w:pPr>
        <w:spacing w:after="120" w:before="80"/>
      </w:pPr>
      <w:r>
        <w:rPr>
          <w:b w:val="false"/>
          <w:bCs w:val="false"/>
          <w:color w:val="1A1A1A"/>
          <w:sz w:val="24"/>
          <w:szCs w:val="24"/>
        </w:rPr>
        <w:t xml:space="preserve">CQC's Well-led key question already asks providers to demonstrate effective governance, use of digital systems, and a culture of continuous improvement. As digital adoption becomes the norm rather than the exception, the bar for what "good" looks like will rise.</w:t>
      </w:r>
    </w:p>
    <w:p>
      <w:pPr>
        <w:spacing w:after="120" w:before="80"/>
      </w:pPr>
      <w:r>
        <w:rPr>
          <w:b w:val="false"/>
          <w:bCs w:val="false"/>
          <w:color w:val="1A1A1A"/>
          <w:sz w:val="24"/>
          <w:szCs w:val="24"/>
        </w:rPr>
        <w:t xml:space="preserve">AlwaysReady puts you ahead of that curve — not scrambling to catch up with it.</w:t>
      </w:r>
    </w:p>
    <w:p>
      <w:pPr>
        <w:spacing w:after="0" w:before="0"/>
      </w:pPr>
      <w:r>
        <w:t xml:space="preserve"/>
      </w:r>
    </w:p>
    <w:p>
      <w:pPr>
        <w:pBdr>
          <w:left w:val="single" w:color="014D4E" w:sz="24"/>
        </w:pBdr>
        <w:shd w:fill="E6FAF8" w:val="clear"/>
        <w:spacing w:after="200" w:before="200"/>
        <w:ind w:left="720"/>
      </w:pPr>
      <w:r>
        <w:rPr>
          <w:b/>
          <w:bCs/>
          <w:i w:val="false"/>
          <w:iCs w:val="false"/>
          <w:color w:val="014D4E"/>
          <w:sz w:val="26"/>
          <w:szCs w:val="26"/>
        </w:rPr>
        <w:t xml:space="preserve">Providers who combine a DSCR with AlwaysReady will have the most complete, evidence-rich picture of CQC readiness available anywhere in the market.</w:t>
      </w:r>
    </w:p>
    <w:p>
      <w:pPr>
        <w:spacing w:after="0" w:before="0"/>
      </w:pPr>
      <w:r>
        <w:t xml:space="preserve"/>
      </w:r>
    </w:p>
    <w:p>
      <w:pPr>
        <w:spacing w:after="60" w:before="320"/>
      </w:pPr>
      <w:r>
        <w:rPr>
          <w:b/>
          <w:bCs/>
          <w:color w:val="014D4E"/>
          <w:sz w:val="18"/>
          <w:szCs w:val="18"/>
        </w:rPr>
        <w:t xml:space="preserve">BENEFITS SUMMARY</w:t>
      </w:r>
    </w:p>
    <w:p>
      <w:pPr>
        <w:pStyle w:val="Heading2"/>
        <w:spacing w:after="120" w:before="360"/>
      </w:pPr>
      <w:r>
        <w:rPr>
          <w:b/>
          <w:bCs/>
          <w:color w:val="014D4E"/>
          <w:sz w:val="36"/>
          <w:szCs w:val="36"/>
        </w:rPr>
        <w:t xml:space="preserve">What you get today — and what's coming</w:t>
      </w:r>
    </w:p>
    <w:p>
      <w:pPr>
        <w:pStyle w:val="Heading3"/>
        <w:spacing w:after="80" w:before="280"/>
      </w:pPr>
      <w:r>
        <w:rPr>
          <w:b/>
          <w:bCs/>
          <w:color w:val="1A1A1A"/>
          <w:sz w:val="28"/>
          <w:szCs w:val="28"/>
        </w:rPr>
        <w:t xml:space="preserve">Available now</w:t>
      </w:r>
    </w:p>
    <w:p>
      <w:pPr>
        <w:spacing w:after="60" w:before="60"/>
        <w:ind w:left="360" w:hanging="360"/>
      </w:pPr>
      <w:r>
        <w:rPr>
          <w:b/>
          <w:bCs/>
          <w:color w:val="014D4E"/>
          <w:sz w:val="24"/>
          <w:szCs w:val="24"/>
        </w:rPr>
        <w:t xml:space="preserve">•  </w:t>
      </w:r>
      <w:r>
        <w:rPr>
          <w:color w:val="1A1A1A"/>
          <w:sz w:val="24"/>
          <w:szCs w:val="24"/>
        </w:rPr>
        <w:t xml:space="preserve">Live KLOE compliance tracking across all five CQC key questions</w:t>
      </w:r>
    </w:p>
    <w:p>
      <w:pPr>
        <w:spacing w:after="60" w:before="60"/>
        <w:ind w:left="360" w:hanging="360"/>
      </w:pPr>
      <w:r>
        <w:rPr>
          <w:b/>
          <w:bCs/>
          <w:color w:val="014D4E"/>
          <w:sz w:val="24"/>
          <w:szCs w:val="24"/>
        </w:rPr>
        <w:t xml:space="preserve">•  </w:t>
      </w:r>
      <w:r>
        <w:rPr>
          <w:color w:val="1A1A1A"/>
          <w:sz w:val="24"/>
          <w:szCs w:val="24"/>
        </w:rPr>
        <w:t xml:space="preserve">Evidence file uploads linked directly to each KLOE</w:t>
      </w:r>
    </w:p>
    <w:p>
      <w:pPr>
        <w:spacing w:after="60" w:before="60"/>
        <w:ind w:left="360" w:hanging="360"/>
      </w:pPr>
      <w:r>
        <w:rPr>
          <w:b/>
          <w:bCs/>
          <w:color w:val="014D4E"/>
          <w:sz w:val="24"/>
          <w:szCs w:val="24"/>
        </w:rPr>
        <w:t xml:space="preserve">•  </w:t>
      </w:r>
      <w:r>
        <w:rPr>
          <w:color w:val="1A1A1A"/>
          <w:sz w:val="24"/>
          <w:szCs w:val="24"/>
        </w:rPr>
        <w:t xml:space="preserve">HR compliance dashboard — DBS, training, supervision, appraisals</w:t>
      </w:r>
    </w:p>
    <w:p>
      <w:pPr>
        <w:spacing w:after="60" w:before="60"/>
        <w:ind w:left="360" w:hanging="360"/>
      </w:pPr>
      <w:r>
        <w:rPr>
          <w:b/>
          <w:bCs/>
          <w:color w:val="014D4E"/>
          <w:sz w:val="24"/>
          <w:szCs w:val="24"/>
        </w:rPr>
        <w:t xml:space="preserve">•  </w:t>
      </w:r>
      <w:r>
        <w:rPr>
          <w:color w:val="1A1A1A"/>
          <w:sz w:val="24"/>
          <w:szCs w:val="24"/>
        </w:rPr>
        <w:t xml:space="preserve">Mock inspection tool with self-assessed ratings</w:t>
      </w:r>
    </w:p>
    <w:p>
      <w:pPr>
        <w:spacing w:after="60" w:before="60"/>
        <w:ind w:left="360" w:hanging="360"/>
      </w:pPr>
      <w:r>
        <w:rPr>
          <w:b/>
          <w:bCs/>
          <w:color w:val="014D4E"/>
          <w:sz w:val="24"/>
          <w:szCs w:val="24"/>
        </w:rPr>
        <w:t xml:space="preserve">•  </w:t>
      </w:r>
      <w:r>
        <w:rPr>
          <w:color w:val="1A1A1A"/>
          <w:sz w:val="24"/>
          <w:szCs w:val="24"/>
        </w:rPr>
        <w:t xml:space="preserve">People's Voice module for resident and family feedback</w:t>
      </w:r>
    </w:p>
    <w:p>
      <w:pPr>
        <w:spacing w:after="60" w:before="60"/>
        <w:ind w:left="360" w:hanging="360"/>
      </w:pPr>
      <w:r>
        <w:rPr>
          <w:b/>
          <w:bCs/>
          <w:color w:val="014D4E"/>
          <w:sz w:val="24"/>
          <w:szCs w:val="24"/>
        </w:rPr>
        <w:t xml:space="preserve">•  </w:t>
      </w:r>
      <w:r>
        <w:rPr>
          <w:color w:val="1A1A1A"/>
          <w:sz w:val="24"/>
          <w:szCs w:val="24"/>
        </w:rPr>
        <w:t xml:space="preserve">AI-drafted compliance summaries</w:t>
      </w:r>
    </w:p>
    <w:p>
      <w:pPr>
        <w:spacing w:after="60" w:before="60"/>
        <w:ind w:left="360" w:hanging="360"/>
      </w:pPr>
      <w:r>
        <w:rPr>
          <w:b/>
          <w:bCs/>
          <w:color w:val="014D4E"/>
          <w:sz w:val="24"/>
          <w:szCs w:val="24"/>
        </w:rPr>
        <w:t xml:space="preserve">•  </w:t>
      </w:r>
      <w:r>
        <w:rPr>
          <w:color w:val="1A1A1A"/>
          <w:sz w:val="24"/>
          <w:szCs w:val="24"/>
        </w:rPr>
        <w:t xml:space="preserve">Exportable inspection pack — ready for the day CQC calls</w:t>
      </w:r>
    </w:p>
    <w:p>
      <w:pPr>
        <w:spacing w:after="0" w:before="0"/>
      </w:pPr>
      <w:r>
        <w:t xml:space="preserve"/>
      </w:r>
    </w:p>
    <w:p>
      <w:pPr>
        <w:pStyle w:val="Heading3"/>
        <w:spacing w:after="80" w:before="280"/>
      </w:pPr>
      <w:r>
        <w:rPr>
          <w:b/>
          <w:bCs/>
          <w:color w:val="1A1A1A"/>
          <w:sz w:val="28"/>
          <w:szCs w:val="28"/>
        </w:rPr>
        <w:t xml:space="preserve">Coming as DSCR connections go live</w:t>
      </w:r>
    </w:p>
    <w:p>
      <w:pPr>
        <w:spacing w:after="60" w:before="60"/>
        <w:ind w:left="360" w:hanging="360"/>
      </w:pPr>
      <w:r>
        <w:rPr>
          <w:b/>
          <w:bCs/>
          <w:color w:val="014D4E"/>
          <w:sz w:val="24"/>
          <w:szCs w:val="24"/>
        </w:rPr>
        <w:t xml:space="preserve">•  </w:t>
      </w:r>
      <w:r>
        <w:rPr>
          <w:color w:val="1A1A1A"/>
          <w:sz w:val="24"/>
          <w:szCs w:val="24"/>
        </w:rPr>
        <w:t xml:space="preserve">Automatic evidence import from Person Centred Software (PCS / mCare)</w:t>
      </w:r>
    </w:p>
    <w:p>
      <w:pPr>
        <w:spacing w:after="60" w:before="60"/>
        <w:ind w:left="360" w:hanging="360"/>
      </w:pPr>
      <w:r>
        <w:rPr>
          <w:b/>
          <w:bCs/>
          <w:color w:val="014D4E"/>
          <w:sz w:val="24"/>
          <w:szCs w:val="24"/>
        </w:rPr>
        <w:t xml:space="preserve">•  </w:t>
      </w:r>
      <w:r>
        <w:rPr>
          <w:color w:val="1A1A1A"/>
          <w:sz w:val="24"/>
          <w:szCs w:val="24"/>
        </w:rPr>
        <w:t xml:space="preserve">Training record sync from connected DSCR HR modules</w:t>
      </w:r>
    </w:p>
    <w:p>
      <w:pPr>
        <w:spacing w:after="60" w:before="60"/>
        <w:ind w:left="360" w:hanging="360"/>
      </w:pPr>
      <w:r>
        <w:rPr>
          <w:b/>
          <w:bCs/>
          <w:color w:val="014D4E"/>
          <w:sz w:val="24"/>
          <w:szCs w:val="24"/>
        </w:rPr>
        <w:t xml:space="preserve">•  </w:t>
      </w:r>
      <w:r>
        <w:rPr>
          <w:color w:val="1A1A1A"/>
          <w:sz w:val="24"/>
          <w:szCs w:val="24"/>
        </w:rPr>
        <w:t xml:space="preserve">Incident and safeguarding data mapped to Safe KLOE evidence</w:t>
      </w:r>
    </w:p>
    <w:p>
      <w:pPr>
        <w:spacing w:after="60" w:before="60"/>
        <w:ind w:left="360" w:hanging="360"/>
      </w:pPr>
      <w:r>
        <w:rPr>
          <w:b/>
          <w:bCs/>
          <w:color w:val="014D4E"/>
          <w:sz w:val="24"/>
          <w:szCs w:val="24"/>
        </w:rPr>
        <w:t xml:space="preserve">•  </w:t>
      </w:r>
      <w:r>
        <w:rPr>
          <w:color w:val="1A1A1A"/>
          <w:sz w:val="24"/>
          <w:szCs w:val="24"/>
        </w:rPr>
        <w:t xml:space="preserve">MODS-compliant data ingestion from any assured DSCR solution</w:t>
      </w:r>
    </w:p>
    <w:p>
      <w:pPr>
        <w:spacing w:after="0" w:before="0"/>
      </w:pPr>
      <w:r>
        <w:t xml:space="preserve"/>
      </w:r>
    </w:p>
    <w:p>
      <w:pPr>
        <w:spacing w:after="60" w:before="320"/>
      </w:pPr>
      <w:r>
        <w:rPr>
          <w:b/>
          <w:bCs/>
          <w:color w:val="014D4E"/>
          <w:sz w:val="18"/>
          <w:szCs w:val="18"/>
        </w:rPr>
        <w:t xml:space="preserve">CALL TO ACTION</w:t>
      </w:r>
    </w:p>
    <w:p>
      <w:pPr>
        <w:pStyle w:val="Heading2"/>
        <w:spacing w:after="120" w:before="360"/>
      </w:pPr>
      <w:r>
        <w:rPr>
          <w:b/>
          <w:bCs/>
          <w:color w:val="014D4E"/>
          <w:sz w:val="36"/>
          <w:szCs w:val="36"/>
        </w:rPr>
        <w:t xml:space="preserve">Start your free trial today</w:t>
      </w:r>
    </w:p>
    <w:p>
      <w:pPr>
        <w:spacing w:after="120" w:before="80"/>
      </w:pPr>
      <w:r>
        <w:rPr>
          <w:b w:val="false"/>
          <w:bCs w:val="false"/>
          <w:color w:val="1A1A1A"/>
          <w:sz w:val="24"/>
          <w:szCs w:val="24"/>
        </w:rPr>
        <w:t xml:space="preserve">AlwaysReady is free for 90 days. No credit card required. You get full access to every feature from day one — and you will be first in line when DSCR integrations go live.</w:t>
      </w:r>
    </w:p>
    <w:p>
      <w:pPr>
        <w:spacing w:after="120" w:before="80"/>
      </w:pPr>
      <w:r>
        <w:rPr>
          <w:b w:val="false"/>
          <w:bCs w:val="false"/>
          <w:color w:val="1A1A1A"/>
          <w:sz w:val="24"/>
          <w:szCs w:val="24"/>
        </w:rPr>
        <w:t xml:space="preserve">Your 90-day trial includes full onboarding support, help from a registered manager who built this platform, and the peace of mind that comes from knowing your governance is covered.</w:t>
      </w:r>
    </w:p>
    <w:p>
      <w:pPr>
        <w:spacing w:after="0" w:before="0"/>
      </w:pPr>
      <w:r>
        <w:t xml:space="preserve"/>
      </w:r>
    </w:p>
    <w:p>
      <w:pPr>
        <w:spacing w:after="120" w:before="80"/>
      </w:pPr>
      <w:r>
        <w:rPr>
          <w:b/>
          <w:bCs/>
          <w:color w:val="1A1A1A"/>
          <w:sz w:val="24"/>
          <w:szCs w:val="24"/>
        </w:rPr>
        <w:t xml:space="preserve">Start your free trial at portal.alwaysready.uk</w:t>
      </w:r>
    </w:p>
    <w:p>
      <w:pPr>
        <w:spacing w:after="0" w:before="0"/>
      </w:pPr>
      <w:r>
        <w:t xml:space="preserve"/>
      </w:r>
    </w:p>
    <w:p>
      <w:pPr>
        <w:pBdr>
          <w:top w:val="single" w:color="DDDDDD" w:sz="6"/>
        </w:pBdr>
        <w:spacing w:after="80" w:before="600"/>
      </w:pPr>
      <w:r>
        <w:rPr>
          <w:b/>
          <w:bCs/>
          <w:color w:val="555555"/>
          <w:sz w:val="18"/>
          <w:szCs w:val="18"/>
        </w:rPr>
        <w:t xml:space="preserve">NOTES FOR MARKETING</w:t>
      </w:r>
    </w:p>
    <w:p>
      <w:pPr>
        <w:spacing w:after="120" w:before="80"/>
      </w:pPr>
      <w:r>
        <w:rPr>
          <w:b w:val="false"/>
          <w:bCs w:val="false"/>
          <w:color w:val="555555"/>
          <w:sz w:val="24"/>
          <w:szCs w:val="24"/>
        </w:rPr>
        <w:t xml:space="preserve">• "Coming as DSCR connections go live" section should be updated to "Available now" as each integration ships.</w:t>
      </w:r>
    </w:p>
    <w:p>
      <w:pPr>
        <w:spacing w:after="120" w:before="80"/>
      </w:pPr>
      <w:r>
        <w:rPr>
          <w:b w:val="false"/>
          <w:bCs w:val="false"/>
          <w:color w:val="555555"/>
          <w:sz w:val="24"/>
          <w:szCs w:val="24"/>
        </w:rPr>
        <w:t xml:space="preserve">• The MODS section references PCS's July 2026 confirmation — update with further confirmations as they come.</w:t>
      </w:r>
    </w:p>
    <w:p>
      <w:pPr>
        <w:spacing w:after="120" w:before="80"/>
      </w:pPr>
      <w:r>
        <w:rPr>
          <w:b w:val="false"/>
          <w:bCs w:val="false"/>
          <w:color w:val="555555"/>
          <w:sz w:val="24"/>
          <w:szCs w:val="24"/>
        </w:rPr>
        <w:t xml:space="preserve">• The hero section can be split into a headline + subheadline for above-the-fold placement.</w:t>
      </w:r>
    </w:p>
    <w:p>
      <w:pPr>
        <w:spacing w:after="120" w:before="80"/>
      </w:pPr>
      <w:r>
        <w:rPr>
          <w:b w:val="false"/>
          <w:bCs w:val="false"/>
          <w:color w:val="555555"/>
          <w:sz w:val="24"/>
          <w:szCs w:val="24"/>
        </w:rPr>
        <w:t xml:space="preserve">• Each benefit block can be used independently as a feature callout or social post.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AlwaysReady — DSCR Integration Website Copy</dc:title>
  <dc:creator>AlwaysReady</dc:creator>
  <cp:lastModifiedBy>Un-named</cp:lastModifiedBy>
  <cp:revision>1</cp:revision>
  <dcterms:created xsi:type="dcterms:W3CDTF">2026-07-30T10:59:47.468Z</dcterms:created>
  <dcterms:modified xsi:type="dcterms:W3CDTF">2026-07-30T10:59:47.468Z</dcterms:modified>
</cp:coreProperties>
</file>

<file path=docProps/custom.xml><?xml version="1.0" encoding="utf-8"?>
<Properties xmlns="http://schemas.openxmlformats.org/officeDocument/2006/custom-properties" xmlns:vt="http://schemas.openxmlformats.org/officeDocument/2006/docPropsVTypes"/>
</file>