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F4E5F" w:sz="12" w:space="4"/>
        </w:pBdr>
        <w:spacing w:after="0"/>
      </w:pPr>
      <w:r>
        <w:rPr>
          <w:rFonts w:ascii="Calibri" w:cs="Calibri" w:eastAsia="Calibri" w:hAnsi="Calibri"/>
          <w:b/>
          <w:bCs/>
          <w:color w:val="1A1D20"/>
          <w:sz w:val="38"/>
          <w:szCs w:val="38"/>
        </w:rPr>
        <w:t xml:space="preserve">ANSWER KEY</w:t>
      </w:r>
      <w:r>
        <w:rPr>
          <w:rFonts w:ascii="Calibri" w:cs="Calibri" w:eastAsia="Calibri" w:hAnsi="Calibri"/>
          <w:color w:val="5A6167"/>
          <w:sz w:val="26"/>
          <w:szCs w:val="26"/>
        </w:rPr>
        <w:t xml:space="preserve">   The Allocation Lab Guide</w:t>
      </w:r>
    </w:p>
    <w:p>
      <w:pPr>
        <w:spacing w:after="170" w:before="60"/>
      </w:pPr>
      <w:r>
        <w:rPr>
          <w:rFonts w:ascii="Calibri" w:cs="Calibri" w:eastAsia="Calibri" w:hAnsi="Calibri"/>
          <w:color w:val="1F4E5F"/>
          <w:sz w:val="18"/>
          <w:szCs w:val="18"/>
        </w:rPr>
        <w:t xml:space="preserve">Teacher copy — do not distribute  ·  AMSCO Topic 2.1, Population Distribution</w:t>
      </w:r>
    </w:p>
    <w:p>
      <w:pPr>
        <w:spacing w:after="90" w:before="0"/>
      </w:pPr>
      <w:r>
        <w:rPr>
          <w:rFonts w:ascii="Calibri" w:cs="Calibri" w:eastAsia="Calibri" w:hAnsi="Calibri"/>
          <w:b/>
          <w:bCs/>
          <w:color w:val="1F4E5F"/>
          <w:sz w:val="21"/>
          <w:szCs w:val="21"/>
        </w:rPr>
        <w:t xml:space="preserve">THE FOUR TERMS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left"/>
            </w:pPr>
            <w:r>
              <w:rPr>
                <w:rFonts w:ascii="Calibri" w:cs="Calibri" w:eastAsia="Calibri" w:hAnsi="Calibri"/>
                <w:b/>
                <w:bCs/>
                <w:color w:val="5A6167"/>
                <w:sz w:val="17"/>
                <w:szCs w:val="17"/>
              </w:rPr>
              <w:t xml:space="preserve">Term</w:t>
            </w:r>
          </w:p>
        </w:tc>
        <w:tc>
          <w:tcPr>
            <w:tcW w:type="dxa" w:w="7080"/>
            <w:tcBorders>
              <w:top w:val="single" w:color="B9C0BA" w:sz="6"/>
              <w:left w:val="single" w:color="B9C0BA" w:sz="6"/>
              <w:bottom w:val="single" w:color="B9C0BA" w:sz="6"/>
              <w:right w:val="single" w:color="B9C0BA" w:sz="6"/>
            </w:tcBorders>
            <w:shd w:fill="EAEFEA" w:val="clear"/>
            <w:tcMar>
              <w:top w:type="dxa" w:w="60"/>
              <w:left w:type="dxa" w:w="90"/>
              <w:bottom w:type="dxa" w:w="60"/>
              <w:right w:type="dxa" w:w="90"/>
            </w:tcMar>
            <w:vAlign w:val="center"/>
          </w:tcPr>
          <w:p>
            <w:pPr>
              <w:spacing w:after="0" w:before="0"/>
              <w:jc w:val="center"/>
            </w:pPr>
            <w:r>
              <w:rPr>
                <w:rFonts w:ascii="Calibri" w:cs="Calibri" w:eastAsia="Calibri" w:hAnsi="Calibri"/>
                <w:b/>
                <w:bCs/>
                <w:color w:val="5A6167"/>
                <w:sz w:val="17"/>
                <w:szCs w:val="17"/>
              </w:rPr>
              <w:t xml:space="preserve">Answer</w:t>
            </w:r>
          </w:p>
        </w:tc>
      </w:tr>
      <w:tr>
        <w:tc>
          <w:tcPr>
            <w:tcW w:type="dxa" w:w="3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Arable land</w:t>
            </w:r>
          </w:p>
        </w:tc>
        <w:tc>
          <w:tcPr>
            <w:tcW w:type="dxa" w:w="70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land you can grow crops on</w:t>
            </w:r>
          </w:p>
        </w:tc>
      </w:tr>
      <w:tr>
        <w:tc>
          <w:tcPr>
            <w:tcW w:type="dxa" w:w="3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Arithmetic density</w:t>
            </w:r>
          </w:p>
        </w:tc>
        <w:tc>
          <w:tcPr>
            <w:tcW w:type="dxa" w:w="70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people ÷ total land area</w:t>
            </w:r>
          </w:p>
        </w:tc>
      </w:tr>
      <w:tr>
        <w:tc>
          <w:tcPr>
            <w:tcW w:type="dxa" w:w="3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Physiological density</w:t>
            </w:r>
          </w:p>
        </w:tc>
        <w:tc>
          <w:tcPr>
            <w:tcW w:type="dxa" w:w="70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people ÷ farmland (arable land)</w:t>
            </w:r>
          </w:p>
        </w:tc>
      </w:tr>
      <w:tr>
        <w:tc>
          <w:tcPr>
            <w:tcW w:type="dxa" w:w="300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left"/>
            </w:pPr>
            <w:r>
              <w:rPr>
                <w:rFonts w:ascii="Calibri" w:cs="Calibri" w:eastAsia="Calibri" w:hAnsi="Calibri"/>
                <w:b w:val="false"/>
                <w:bCs w:val="false"/>
                <w:color w:val="1A1D20"/>
                <w:sz w:val="19"/>
                <w:szCs w:val="19"/>
              </w:rPr>
              <w:t xml:space="preserve">Agricultural density</w:t>
            </w:r>
          </w:p>
        </w:tc>
        <w:tc>
          <w:tcPr>
            <w:tcW w:type="dxa" w:w="7080"/>
            <w:tcBorders>
              <w:top w:val="single" w:color="B9C0BA" w:sz="6"/>
              <w:left w:val="single" w:color="B9C0BA" w:sz="6"/>
              <w:bottom w:val="single" w:color="B9C0BA" w:sz="6"/>
              <w:right w:val="single" w:color="B9C0BA" w:sz="6"/>
            </w:tcBorders>
            <w:tcMar>
              <w:top w:type="dxa" w:w="60"/>
              <w:left w:type="dxa" w:w="90"/>
              <w:bottom w:type="dxa" w:w="60"/>
              <w:right w:type="dxa" w:w="90"/>
            </w:tcMar>
            <w:vAlign w:val="center"/>
          </w:tcPr>
          <w:p>
            <w:pPr>
              <w:spacing w:after="0" w:before="0"/>
              <w:jc w:val="center"/>
            </w:pPr>
            <w:r>
              <w:rPr>
                <w:rFonts w:ascii="Calibri" w:cs="Calibri" w:eastAsia="Calibri" w:hAnsi="Calibri"/>
                <w:b w:val="false"/>
                <w:bCs w:val="false"/>
                <w:color w:val="1A1D20"/>
                <w:sz w:val="19"/>
                <w:szCs w:val="19"/>
              </w:rPr>
              <w:t xml:space="preserve">farmers ÷ farmland</w:t>
            </w:r>
          </w:p>
        </w:tc>
      </w:tr>
    </w:tbl>
    <w:p>
      <w:pPr>
        <w:spacing w:after="200"/>
      </w:pPr>
      <w:r>
        <w:rPr>
          <w:rFonts w:ascii="Calibri" w:cs="Calibri" w:eastAsia="Calibri" w:hAnsi="Calibri"/>
          <w:color w:val="1A1D20"/>
          <w:sz w:val="20"/>
          <w:szCs w:val="20"/>
        </w:rP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shd w:fill="1F4E5F" w:val="clear"/>
            <w:tcMar>
              <w:top w:type="dxa" w:w="70"/>
              <w:left w:type="dxa" w:w="130"/>
              <w:bottom w:type="dxa" w:w="70"/>
              <w:right w:type="dxa" w:w="130"/>
            </w:tcMar>
          </w:tcPr>
          <w:p>
            <w:pPr>
              <w:spacing w:after="0"/>
            </w:pPr>
            <w:r>
              <w:rPr>
                <w:rFonts w:ascii="Calibri" w:cs="Calibri" w:eastAsia="Calibri" w:hAnsi="Calibri"/>
                <w:b/>
                <w:bCs/>
                <w:color w:val="FFFFFF"/>
                <w:sz w:val="22"/>
                <w:szCs w:val="22"/>
              </w:rPr>
              <w:t xml:space="preserve">ROUND 1  </w:t>
            </w:r>
            <w:r>
              <w:rPr>
                <w:rFonts w:ascii="Calibri" w:cs="Calibri" w:eastAsia="Calibri" w:hAnsi="Calibri"/>
                <w:b/>
                <w:bCs/>
                <w:color w:val="FFFFFF"/>
                <w:sz w:val="22"/>
                <w:szCs w:val="22"/>
              </w:rPr>
              <w:t xml:space="preserve">Who looks worst?</w:t>
            </w:r>
            <w:r>
              <w:rPr>
                <w:rFonts w:ascii="Calibri" w:cs="Calibri" w:eastAsia="Calibri" w:hAnsi="Calibri"/>
                <w:color w:val="C9D8DC"/>
                <w:sz w:val="17"/>
                <w:szCs w:val="17"/>
              </w:rPr>
              <w:t xml:space="preserve">      </w:t>
            </w:r>
          </w:p>
        </w:tc>
      </w:tr>
    </w:tbl>
    <w:p>
      <w:pPr>
        <w:spacing w:after="120"/>
      </w:pPr>
      <w:r>
        <w:rPr>
          <w:rFonts w:ascii="Calibri" w:cs="Calibri" w:eastAsia="Calibri" w:hAnsi="Calibri"/>
          <w:color w:val="1A1D20"/>
          <w:sz w:val="20"/>
          <w:szCs w:val="20"/>
        </w:rPr>
        <w:t xml:space="preserve"/>
      </w:r>
    </w:p>
    <w:p>
      <w:pPr>
        <w:spacing w:after="70" w:before="40"/>
      </w:pPr>
      <w:r>
        <w:rPr>
          <w:rFonts w:ascii="Calibri" w:cs="Calibri" w:eastAsia="Calibri" w:hAnsi="Calibri"/>
          <w:b/>
          <w:bCs/>
          <w:color w:val="1F4E5F"/>
          <w:sz w:val="20"/>
          <w:szCs w:val="20"/>
        </w:rPr>
        <w:t xml:space="preserve">1.  </w:t>
      </w:r>
      <w:r>
        <w:rPr>
          <w:rFonts w:ascii="Calibri" w:cs="Calibri" w:eastAsia="Calibri" w:hAnsi="Calibri"/>
          <w:color w:val="1A1D20"/>
          <w:sz w:val="20"/>
          <w:szCs w:val="20"/>
        </w:rPr>
        <w:t xml:space="preserve">Egypt 87,450,000 ÷ 386,662 = 226.  Sudan 47,958,856 ÷ 718,723 = 67. (App accepts ±3%.)</w:t>
      </w:r>
    </w:p>
    <w:p>
      <w:pPr>
        <w:spacing w:after="70" w:before="40"/>
      </w:pPr>
      <w:r>
        <w:rPr>
          <w:rFonts w:ascii="Calibri" w:cs="Calibri" w:eastAsia="Calibri" w:hAnsi="Calibri"/>
          <w:b/>
          <w:bCs/>
          <w:color w:val="1F4E5F"/>
          <w:sz w:val="20"/>
          <w:szCs w:val="20"/>
        </w:rPr>
        <w:t xml:space="preserve">2.  </w:t>
      </w:r>
      <w:r>
        <w:rPr>
          <w:rFonts w:ascii="Calibri" w:cs="Calibri" w:eastAsia="Calibri" w:hAnsi="Calibri"/>
          <w:color w:val="1A1D20"/>
          <w:sz w:val="20"/>
          <w:szCs w:val="20"/>
        </w:rPr>
        <w:t xml:space="preserve">Bangladesh 2,914 · Egypt 226 · Yemen 152 · Sudan 67 · Niger 56.</w:t>
      </w:r>
    </w:p>
    <w:p>
      <w:pPr>
        <w:spacing w:after="70" w:before="40"/>
      </w:pPr>
      <w:r>
        <w:rPr>
          <w:rFonts w:ascii="Calibri" w:cs="Calibri" w:eastAsia="Calibri" w:hAnsi="Calibri"/>
          <w:b/>
          <w:bCs/>
          <w:color w:val="1F4E5F"/>
          <w:sz w:val="20"/>
          <w:szCs w:val="20"/>
        </w:rPr>
        <w:t xml:space="preserve">3.  </w:t>
      </w:r>
      <w:r>
        <w:rPr>
          <w:rFonts w:ascii="Calibri" w:cs="Calibri" w:eastAsia="Calibri" w:hAnsi="Calibri"/>
          <w:color w:val="1A1D20"/>
          <w:sz w:val="20"/>
          <w:szCs w:val="20"/>
        </w:rPr>
        <w:t xml:space="preserve">Egypt = linear.  Niger = clustered.  Bangladesh = dispersed.</w:t>
      </w:r>
    </w:p>
    <w:p>
      <w:pPr>
        <w:spacing w:after="70" w:before="40"/>
      </w:pPr>
      <w:r>
        <w:rPr>
          <w:rFonts w:ascii="Calibri" w:cs="Calibri" w:eastAsia="Calibri" w:hAnsi="Calibri"/>
          <w:b/>
          <w:bCs/>
          <w:color w:val="1F4E5F"/>
          <w:sz w:val="20"/>
          <w:szCs w:val="20"/>
        </w:rPr>
        <w:t xml:space="preserve">4.  </w:t>
      </w:r>
      <w:r>
        <w:rPr>
          <w:rFonts w:ascii="Calibri" w:cs="Calibri" w:eastAsia="Calibri" w:hAnsi="Calibri"/>
          <w:color w:val="1A1D20"/>
          <w:sz w:val="20"/>
          <w:szCs w:val="20"/>
        </w:rPr>
        <w:t xml:space="preserve">Sudan (67) and Niger (56). Sudan's people run in a line along the Nile; Niger's are packed into a southern strip with two-thirds of the country empty. Same density, different shape — the point of the AMSCO A/B/C diagram.</w:t>
      </w:r>
    </w:p>
    <w:p>
      <w:pPr>
        <w:spacing w:after="70" w:before="40"/>
      </w:pPr>
      <w:r>
        <w:rPr>
          <w:rFonts w:ascii="Calibri" w:cs="Calibri" w:eastAsia="Calibri" w:hAnsi="Calibri"/>
          <w:b/>
          <w:bCs/>
          <w:color w:val="1F4E5F"/>
          <w:sz w:val="20"/>
          <w:szCs w:val="20"/>
        </w:rPr>
        <w:t xml:space="preserve">5.  </w:t>
      </w:r>
      <w:r>
        <w:rPr>
          <w:rFonts w:ascii="Calibri" w:cs="Calibri" w:eastAsia="Calibri" w:hAnsi="Calibri"/>
          <w:color w:val="1A1D20"/>
          <w:sz w:val="20"/>
          <w:szCs w:val="20"/>
        </w:rPr>
        <w:t xml:space="preserve">Accept anything real: how good the farmland is, how much food they grow, whether they have money, how much of the land is desert.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EAEFEA" w:val="clear"/>
            <w:tcMar>
              <w:top w:type="dxa" w:w="90"/>
              <w:left w:type="dxa" w:w="140"/>
              <w:bottom w:type="dxa" w:w="90"/>
              <w:right w:type="dxa" w:w="140"/>
            </w:tcMar>
          </w:tcPr>
          <w:p>
            <w:pPr>
              <w:spacing w:after="0" w:before="0"/>
            </w:pPr>
            <w:r>
              <w:rPr>
                <w:rFonts w:ascii="Calibri" w:cs="Calibri" w:eastAsia="Calibri" w:hAnsi="Calibri"/>
                <w:b/>
                <w:bCs/>
                <w:color w:val="1F4E5F"/>
                <w:sz w:val="18"/>
                <w:szCs w:val="18"/>
              </w:rPr>
              <w:t xml:space="preserve">Listen for:  </w:t>
            </w:r>
            <w:r>
              <w:rPr>
                <w:rFonts w:ascii="Calibri" w:cs="Calibri" w:eastAsia="Calibri" w:hAnsi="Calibri"/>
                <w:color w:val="1A1D20"/>
                <w:sz w:val="19"/>
                <w:szCs w:val="19"/>
              </w:rPr>
              <w:t xml:space="preserve">Most pairs fund Bangladesh heavily and give Egypt almost nothing. That is the intended trap — let it happen.</w:t>
            </w:r>
          </w:p>
        </w:tc>
      </w:tr>
    </w:tbl>
    <w:p>
      <w:pPr>
        <w:spacing w:after="180"/>
      </w:pPr>
      <w:r>
        <w:rPr>
          <w:rFonts w:ascii="Calibri" w:cs="Calibri" w:eastAsia="Calibri" w:hAnsi="Calibri"/>
          <w:color w:val="1A1D20"/>
          <w:sz w:val="20"/>
          <w:szCs w:val="20"/>
        </w:rP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shd w:fill="1F4E5F" w:val="clear"/>
            <w:tcMar>
              <w:top w:type="dxa" w:w="70"/>
              <w:left w:type="dxa" w:w="130"/>
              <w:bottom w:type="dxa" w:w="70"/>
              <w:right w:type="dxa" w:w="130"/>
            </w:tcMar>
          </w:tcPr>
          <w:p>
            <w:pPr>
              <w:spacing w:after="0"/>
            </w:pPr>
            <w:r>
              <w:rPr>
                <w:rFonts w:ascii="Calibri" w:cs="Calibri" w:eastAsia="Calibri" w:hAnsi="Calibri"/>
                <w:b/>
                <w:bCs/>
                <w:color w:val="FFFFFF"/>
                <w:sz w:val="22"/>
                <w:szCs w:val="22"/>
              </w:rPr>
              <w:t xml:space="preserve">ROUND 2  </w:t>
            </w:r>
            <w:r>
              <w:rPr>
                <w:rFonts w:ascii="Calibri" w:cs="Calibri" w:eastAsia="Calibri" w:hAnsi="Calibri"/>
                <w:b/>
                <w:bCs/>
                <w:color w:val="FFFFFF"/>
                <w:sz w:val="22"/>
                <w:szCs w:val="22"/>
              </w:rPr>
              <w:t xml:space="preserve">Measure the farmland instead</w:t>
            </w:r>
            <w:r>
              <w:rPr>
                <w:rFonts w:ascii="Calibri" w:cs="Calibri" w:eastAsia="Calibri" w:hAnsi="Calibri"/>
                <w:color w:val="C9D8DC"/>
                <w:sz w:val="17"/>
                <w:szCs w:val="17"/>
              </w:rPr>
              <w:t xml:space="preserve">      </w:t>
            </w:r>
          </w:p>
        </w:tc>
      </w:tr>
    </w:tbl>
    <w:p>
      <w:pPr>
        <w:spacing w:after="120"/>
      </w:pPr>
      <w:r>
        <w:rPr>
          <w:rFonts w:ascii="Calibri" w:cs="Calibri" w:eastAsia="Calibri" w:hAnsi="Calibri"/>
          <w:color w:val="1A1D20"/>
          <w:sz w:val="20"/>
          <w:szCs w:val="20"/>
        </w:rPr>
        <w:t xml:space="preserve"/>
      </w:r>
    </w:p>
    <w:p>
      <w:pPr>
        <w:spacing w:after="70" w:before="40"/>
      </w:pPr>
      <w:r>
        <w:rPr>
          <w:rFonts w:ascii="Calibri" w:cs="Calibri" w:eastAsia="Calibri" w:hAnsi="Calibri"/>
          <w:b/>
          <w:bCs/>
          <w:color w:val="1F4E5F"/>
          <w:sz w:val="20"/>
          <w:szCs w:val="20"/>
        </w:rPr>
        <w:t xml:space="preserve">6.  </w:t>
      </w:r>
      <w:r>
        <w:rPr>
          <w:rFonts w:ascii="Calibri" w:cs="Calibri" w:eastAsia="Calibri" w:hAnsi="Calibri"/>
          <w:color w:val="1A1D20"/>
          <w:sz w:val="20"/>
          <w:szCs w:val="20"/>
        </w:rPr>
        <w:t xml:space="preserve">Egypt 87,450,000 ÷ 10,827 = 8,077.  Yemen 30,984,689 ÷ 4,485 = 6,909.  Niger 27,322,555 ÷ 60,171 = 454.</w:t>
      </w:r>
    </w:p>
    <w:p>
      <w:pPr>
        <w:spacing w:after="70" w:before="40"/>
      </w:pPr>
      <w:r>
        <w:rPr>
          <w:rFonts w:ascii="Calibri" w:cs="Calibri" w:eastAsia="Calibri" w:hAnsi="Calibri"/>
          <w:b/>
          <w:bCs/>
          <w:color w:val="1F4E5F"/>
          <w:sz w:val="20"/>
          <w:szCs w:val="20"/>
        </w:rPr>
        <w:t xml:space="preserve">7.  </w:t>
      </w:r>
      <w:r>
        <w:rPr>
          <w:rFonts w:ascii="Calibri" w:cs="Calibri" w:eastAsia="Calibri" w:hAnsi="Calibri"/>
          <w:color w:val="1A1D20"/>
          <w:sz w:val="20"/>
          <w:szCs w:val="20"/>
        </w:rPr>
        <w:t xml:space="preserve">8,077. The bottom of the fraction changed — we divided by farmland instead of total land. Egypt is 97% desert, so almost all its land drops out.</w:t>
      </w:r>
    </w:p>
    <w:p>
      <w:pPr>
        <w:spacing w:after="70" w:before="40"/>
      </w:pPr>
      <w:r>
        <w:rPr>
          <w:rFonts w:ascii="Calibri" w:cs="Calibri" w:eastAsia="Calibri" w:hAnsi="Calibri"/>
          <w:b/>
          <w:bCs/>
          <w:color w:val="1F4E5F"/>
          <w:sz w:val="20"/>
          <w:szCs w:val="20"/>
        </w:rPr>
        <w:t xml:space="preserve">8.  </w:t>
      </w:r>
      <w:r>
        <w:rPr>
          <w:rFonts w:ascii="Calibri" w:cs="Calibri" w:eastAsia="Calibri" w:hAnsi="Calibri"/>
          <w:color w:val="1A1D20"/>
          <w:sz w:val="20"/>
          <w:szCs w:val="20"/>
        </w:rPr>
        <w:t xml:space="preserve">Egypt 640 ÷ 8,077 = 0.08 acres.  Sudan 640 ÷ 425 = 1.51 acres.  Sudan has far more room.</w:t>
      </w:r>
    </w:p>
    <w:p>
      <w:pPr>
        <w:spacing w:after="70" w:before="40"/>
      </w:pPr>
      <w:r>
        <w:rPr>
          <w:rFonts w:ascii="Calibri" w:cs="Calibri" w:eastAsia="Calibri" w:hAnsi="Calibri"/>
          <w:b/>
          <w:bCs/>
          <w:color w:val="1F4E5F"/>
          <w:sz w:val="20"/>
          <w:szCs w:val="20"/>
        </w:rPr>
        <w:t xml:space="preserve">9.  </w:t>
      </w:r>
      <w:r>
        <w:rPr>
          <w:rFonts w:ascii="Calibri" w:cs="Calibri" w:eastAsia="Calibri" w:hAnsi="Calibri"/>
          <w:color w:val="1A1D20"/>
          <w:sz w:val="20"/>
          <w:szCs w:val="20"/>
        </w:rPr>
        <w:t xml:space="preserve">Japan is rich and buys food from other countries. Crowded farmland tells you a country cannot feed itself from its own land — not that its people go hungry. This is stated in the reading.</w:t>
      </w:r>
    </w:p>
    <w:p>
      <w:pPr>
        <w:spacing w:after="70" w:before="40"/>
      </w:pPr>
      <w:r>
        <w:rPr>
          <w:rFonts w:ascii="Calibri" w:cs="Calibri" w:eastAsia="Calibri" w:hAnsi="Calibri"/>
          <w:b/>
          <w:bCs/>
          <w:color w:val="1F4E5F"/>
          <w:sz w:val="20"/>
          <w:szCs w:val="20"/>
        </w:rPr>
        <w:t xml:space="preserve">10.  </w:t>
      </w:r>
      <w:r>
        <w:rPr>
          <w:rFonts w:ascii="Calibri" w:cs="Calibri" w:eastAsia="Calibri" w:hAnsi="Calibri"/>
          <w:color w:val="1A1D20"/>
          <w:sz w:val="20"/>
          <w:szCs w:val="20"/>
        </w:rPr>
        <w:t xml:space="preserve">Expect Egypt and Yemen up, Bangladesh down. Bangladesh has the highest arithmetic density but 59% of it is farmland.</w:t>
      </w:r>
    </w:p>
    <w:p>
      <w:pPr>
        <w:spacing w:after="70" w:before="40"/>
      </w:pPr>
      <w:r>
        <w:rPr>
          <w:rFonts w:ascii="Calibri" w:cs="Calibri" w:eastAsia="Calibri" w:hAnsi="Calibri"/>
          <w:b/>
          <w:bCs/>
          <w:color w:val="1F4E5F"/>
          <w:sz w:val="20"/>
          <w:szCs w:val="20"/>
        </w:rPr>
        <w:t xml:space="preserve">11.  </w:t>
      </w:r>
      <w:r>
        <w:rPr>
          <w:rFonts w:ascii="Calibri" w:cs="Calibri" w:eastAsia="Calibri" w:hAnsi="Calibri"/>
          <w:color w:val="1A1D20"/>
          <w:sz w:val="20"/>
          <w:szCs w:val="20"/>
        </w:rPr>
        <w:t xml:space="preserve">The strongest answer is 'we don't know how much food that land actually grows.' A pair who writes that has predicted Round 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EAEFEA" w:val="clear"/>
            <w:tcMar>
              <w:top w:type="dxa" w:w="90"/>
              <w:left w:type="dxa" w:w="140"/>
              <w:bottom w:type="dxa" w:w="90"/>
              <w:right w:type="dxa" w:w="140"/>
            </w:tcMar>
          </w:tcPr>
          <w:p>
            <w:pPr>
              <w:spacing w:after="0" w:before="0"/>
            </w:pPr>
            <w:r>
              <w:rPr>
                <w:rFonts w:ascii="Calibri" w:cs="Calibri" w:eastAsia="Calibri" w:hAnsi="Calibri"/>
                <w:b/>
                <w:bCs/>
                <w:color w:val="1F4E5F"/>
                <w:sz w:val="18"/>
                <w:szCs w:val="18"/>
              </w:rPr>
              <w:t xml:space="preserve">Listen for:  </w:t>
            </w:r>
            <w:r>
              <w:rPr>
                <w:rFonts w:ascii="Calibri" w:cs="Calibri" w:eastAsia="Calibri" w:hAnsi="Calibri"/>
                <w:color w:val="1A1D20"/>
                <w:sz w:val="19"/>
                <w:szCs w:val="19"/>
              </w:rPr>
              <w:t xml:space="preserve">The sentence you want: “nothing about Egypt changed — we changed what we divided by.”</w:t>
            </w:r>
          </w:p>
        </w:tc>
      </w:tr>
    </w:tbl>
    <w:p>
      <w:pPr>
        <w:spacing w:after="180"/>
      </w:pPr>
      <w:r>
        <w:rPr>
          <w:rFonts w:ascii="Calibri" w:cs="Calibri" w:eastAsia="Calibri" w:hAnsi="Calibri"/>
          <w:color w:val="1A1D20"/>
          <w:sz w:val="20"/>
          <w:szCs w:val="20"/>
        </w:rP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shd w:fill="1F4E5F" w:val="clear"/>
            <w:tcMar>
              <w:top w:type="dxa" w:w="70"/>
              <w:left w:type="dxa" w:w="130"/>
              <w:bottom w:type="dxa" w:w="70"/>
              <w:right w:type="dxa" w:w="130"/>
            </w:tcMar>
          </w:tcPr>
          <w:p>
            <w:pPr>
              <w:spacing w:after="0"/>
            </w:pPr>
            <w:r>
              <w:rPr>
                <w:rFonts w:ascii="Calibri" w:cs="Calibri" w:eastAsia="Calibri" w:hAnsi="Calibri"/>
                <w:b/>
                <w:bCs/>
                <w:color w:val="FFFFFF"/>
                <w:sz w:val="22"/>
                <w:szCs w:val="22"/>
              </w:rPr>
              <w:t xml:space="preserve">ROUND 3  </w:t>
            </w:r>
            <w:r>
              <w:rPr>
                <w:rFonts w:ascii="Calibri" w:cs="Calibri" w:eastAsia="Calibri" w:hAnsi="Calibri"/>
                <w:b/>
                <w:bCs/>
                <w:color w:val="FFFFFF"/>
                <w:sz w:val="22"/>
                <w:szCs w:val="22"/>
              </w:rPr>
              <w:t xml:space="preserve">The Sudan correction</w:t>
            </w:r>
            <w:r>
              <w:rPr>
                <w:rFonts w:ascii="Calibri" w:cs="Calibri" w:eastAsia="Calibri" w:hAnsi="Calibri"/>
                <w:color w:val="C9D8DC"/>
                <w:sz w:val="17"/>
                <w:szCs w:val="17"/>
              </w:rPr>
              <w:t xml:space="preserve">      </w:t>
            </w:r>
          </w:p>
        </w:tc>
      </w:tr>
    </w:tbl>
    <w:p>
      <w:pPr>
        <w:spacing w:after="120"/>
      </w:pPr>
      <w:r>
        <w:rPr>
          <w:rFonts w:ascii="Calibri" w:cs="Calibri" w:eastAsia="Calibri" w:hAnsi="Calibri"/>
          <w:color w:val="1A1D20"/>
          <w:sz w:val="20"/>
          <w:szCs w:val="20"/>
        </w:rPr>
        <w:t xml:space="preserve"/>
      </w:r>
    </w:p>
    <w:p>
      <w:pPr>
        <w:spacing w:after="70" w:before="40"/>
      </w:pPr>
      <w:r>
        <w:rPr>
          <w:rFonts w:ascii="Calibri" w:cs="Calibri" w:eastAsia="Calibri" w:hAnsi="Calibri"/>
          <w:b/>
          <w:bCs/>
          <w:color w:val="1F4E5F"/>
          <w:sz w:val="20"/>
          <w:szCs w:val="20"/>
        </w:rPr>
        <w:t xml:space="preserve">12.  </w:t>
      </w:r>
      <w:r>
        <w:rPr>
          <w:rFonts w:ascii="Calibri" w:cs="Calibri" w:eastAsia="Calibri" w:hAnsi="Calibri"/>
          <w:color w:val="1A1D20"/>
          <w:sz w:val="20"/>
          <w:szCs w:val="20"/>
        </w:rPr>
        <w:t xml:space="preserve">Population 47,958,856 both columns. Arithmetic density 67 both. Physiological density 425 both. Driven from home: — before, about 11,000,000 after.</w:t>
      </w:r>
    </w:p>
    <w:p>
      <w:pPr>
        <w:spacing w:after="70" w:before="40"/>
      </w:pPr>
      <w:r>
        <w:rPr>
          <w:rFonts w:ascii="Calibri" w:cs="Calibri" w:eastAsia="Calibri" w:hAnsi="Calibri"/>
          <w:b/>
          <w:bCs/>
          <w:color w:val="1F4E5F"/>
          <w:sz w:val="20"/>
          <w:szCs w:val="20"/>
        </w:rPr>
        <w:t xml:space="preserve">13.  </w:t>
      </w:r>
      <w:r>
        <w:rPr>
          <w:rFonts w:ascii="Calibri" w:cs="Calibri" w:eastAsia="Calibri" w:hAnsi="Calibri"/>
          <w:color w:val="1A1D20"/>
          <w:sz w:val="20"/>
          <w:szCs w:val="20"/>
        </w:rPr>
        <w:t xml:space="preserve">Nobody entered or left Sudan. Eleven million people moved inside the same country, so the national totals — and every density built from them — stayed exactly the same.</w:t>
      </w:r>
    </w:p>
    <w:p>
      <w:pPr>
        <w:spacing w:after="70" w:before="40"/>
      </w:pPr>
      <w:r>
        <w:rPr>
          <w:rFonts w:ascii="Calibri" w:cs="Calibri" w:eastAsia="Calibri" w:hAnsi="Calibri"/>
          <w:b/>
          <w:bCs/>
          <w:color w:val="1F4E5F"/>
          <w:sz w:val="20"/>
          <w:szCs w:val="20"/>
        </w:rPr>
        <w:t xml:space="preserve">14.  </w:t>
      </w:r>
      <w:r>
        <w:rPr>
          <w:rFonts w:ascii="Calibri" w:cs="Calibri" w:eastAsia="Calibri" w:hAnsi="Calibri"/>
          <w:color w:val="1A1D20"/>
          <w:sz w:val="20"/>
          <w:szCs w:val="20"/>
        </w:rPr>
        <w:t xml:space="preserve">DISTRIBUTION.</w:t>
      </w:r>
    </w:p>
    <w:p>
      <w:pPr>
        <w:spacing w:after="70" w:before="40"/>
      </w:pPr>
      <w:r>
        <w:rPr>
          <w:rFonts w:ascii="Calibri" w:cs="Calibri" w:eastAsia="Calibri" w:hAnsi="Calibri"/>
          <w:b/>
          <w:bCs/>
          <w:color w:val="1F4E5F"/>
          <w:sz w:val="20"/>
          <w:szCs w:val="20"/>
        </w:rPr>
        <w:t xml:space="preserve">15.  </w:t>
      </w:r>
      <w:r>
        <w:rPr>
          <w:rFonts w:ascii="Calibri" w:cs="Calibri" w:eastAsia="Calibri" w:hAnsi="Calibri"/>
          <w:color w:val="1A1D20"/>
          <w:sz w:val="20"/>
          <w:szCs w:val="20"/>
        </w:rPr>
        <w:t xml:space="preserve">Accept: where inside the country people are now, refugee or displacement counts, food prices by region, whether farmers can reach their fields, satellite images of unharvested crops.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EAEFEA" w:val="clear"/>
            <w:tcMar>
              <w:top w:type="dxa" w:w="90"/>
              <w:left w:type="dxa" w:w="140"/>
              <w:bottom w:type="dxa" w:w="90"/>
              <w:right w:type="dxa" w:w="140"/>
            </w:tcMar>
          </w:tcPr>
          <w:p>
            <w:pPr>
              <w:spacing w:after="0" w:before="0"/>
            </w:pPr>
            <w:r>
              <w:rPr>
                <w:rFonts w:ascii="Calibri" w:cs="Calibri" w:eastAsia="Calibri" w:hAnsi="Calibri"/>
                <w:b/>
                <w:bCs/>
                <w:color w:val="1F4E5F"/>
                <w:sz w:val="18"/>
                <w:szCs w:val="18"/>
              </w:rPr>
              <w:t xml:space="preserve">Listen for:  </w:t>
            </w:r>
            <w:r>
              <w:rPr>
                <w:rFonts w:ascii="Calibri" w:cs="Calibri" w:eastAsia="Calibri" w:hAnsi="Calibri"/>
                <w:color w:val="1A1D20"/>
                <w:sz w:val="19"/>
                <w:szCs w:val="19"/>
              </w:rPr>
              <w:t xml:space="preserve">This is the AMSCO p.58 A/B/C diagram happening in real life: the pattern changed, the density did not.</w:t>
            </w:r>
          </w:p>
        </w:tc>
      </w:tr>
    </w:tbl>
    <w:p>
      <w:r>
        <w:br w:type="pag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shd w:fill="1F4E5F" w:val="clear"/>
            <w:tcMar>
              <w:top w:type="dxa" w:w="70"/>
              <w:left w:type="dxa" w:w="130"/>
              <w:bottom w:type="dxa" w:w="70"/>
              <w:right w:type="dxa" w:w="130"/>
            </w:tcMar>
          </w:tcPr>
          <w:p>
            <w:pPr>
              <w:spacing w:after="0"/>
            </w:pPr>
            <w:r>
              <w:rPr>
                <w:rFonts w:ascii="Calibri" w:cs="Calibri" w:eastAsia="Calibri" w:hAnsi="Calibri"/>
                <w:b/>
                <w:bCs/>
                <w:color w:val="FFFFFF"/>
                <w:sz w:val="22"/>
                <w:szCs w:val="22"/>
              </w:rPr>
              <w:t xml:space="preserve">ROUND 4  </w:t>
            </w:r>
            <w:r>
              <w:rPr>
                <w:rFonts w:ascii="Calibri" w:cs="Calibri" w:eastAsia="Calibri" w:hAnsi="Calibri"/>
                <w:b/>
                <w:bCs/>
                <w:color w:val="FFFFFF"/>
                <w:sz w:val="22"/>
                <w:szCs w:val="22"/>
              </w:rPr>
              <w:t xml:space="preserve">What the land actually grows</w:t>
            </w:r>
            <w:r>
              <w:rPr>
                <w:rFonts w:ascii="Calibri" w:cs="Calibri" w:eastAsia="Calibri" w:hAnsi="Calibri"/>
                <w:color w:val="C9D8DC"/>
                <w:sz w:val="17"/>
                <w:szCs w:val="17"/>
              </w:rPr>
              <w:t xml:space="preserve">      </w:t>
            </w:r>
          </w:p>
        </w:tc>
      </w:tr>
    </w:tbl>
    <w:p>
      <w:pPr>
        <w:spacing w:after="120"/>
      </w:pPr>
      <w:r>
        <w:rPr>
          <w:rFonts w:ascii="Calibri" w:cs="Calibri" w:eastAsia="Calibri" w:hAnsi="Calibri"/>
          <w:color w:val="1A1D20"/>
          <w:sz w:val="20"/>
          <w:szCs w:val="20"/>
        </w:rPr>
        <w:t xml:space="preserve"/>
      </w:r>
    </w:p>
    <w:p>
      <w:pPr>
        <w:spacing w:after="70" w:before="40"/>
      </w:pPr>
      <w:r>
        <w:rPr>
          <w:rFonts w:ascii="Calibri" w:cs="Calibri" w:eastAsia="Calibri" w:hAnsi="Calibri"/>
          <w:b/>
          <w:bCs/>
          <w:color w:val="1F4E5F"/>
          <w:sz w:val="20"/>
          <w:szCs w:val="20"/>
        </w:rPr>
        <w:t xml:space="preserve">16.  </w:t>
      </w:r>
      <w:r>
        <w:rPr>
          <w:rFonts w:ascii="Calibri" w:cs="Calibri" w:eastAsia="Calibri" w:hAnsi="Calibri"/>
          <w:color w:val="1A1D20"/>
          <w:sz w:val="20"/>
          <w:szCs w:val="20"/>
        </w:rPr>
        <w:t xml:space="preserve">Niger: 5,100,000 ÷ 60,171 = 85.  Yemen: 0.09 × 405 = 36, and the app's exact figure is 37 — anything from 36 to 39 passes.</w:t>
      </w:r>
    </w:p>
    <w:p>
      <w:pPr>
        <w:spacing w:after="70" w:before="40"/>
      </w:pPr>
      <w:r>
        <w:rPr>
          <w:rFonts w:ascii="Calibri" w:cs="Calibri" w:eastAsia="Calibri" w:hAnsi="Calibri"/>
          <w:b/>
          <w:bCs/>
          <w:color w:val="1F4E5F"/>
          <w:sz w:val="20"/>
          <w:szCs w:val="20"/>
        </w:rPr>
        <w:t xml:space="preserve">17.  </w:t>
      </w:r>
      <w:r>
        <w:rPr>
          <w:rFonts w:ascii="Calibri" w:cs="Calibri" w:eastAsia="Calibri" w:hAnsi="Calibri"/>
          <w:color w:val="1A1D20"/>
          <w:sz w:val="20"/>
          <w:szCs w:val="20"/>
        </w:rPr>
        <w:t xml:space="preserve">Egypt: 8,077 · 0.08 acres · 2,630 kg per acre · 208 kg per person.  Yemen: 6,909 · 0.09 acres · 405 kg per acre · 37 kg per person.</w:t>
      </w:r>
    </w:p>
    <w:p>
      <w:pPr>
        <w:spacing w:after="70" w:before="40"/>
      </w:pPr>
      <w:r>
        <w:rPr>
          <w:rFonts w:ascii="Calibri" w:cs="Calibri" w:eastAsia="Calibri" w:hAnsi="Calibri"/>
          <w:b/>
          <w:bCs/>
          <w:color w:val="1F4E5F"/>
          <w:sz w:val="20"/>
          <w:szCs w:val="20"/>
        </w:rPr>
        <w:t xml:space="preserve">18.  </w:t>
      </w:r>
      <w:r>
        <w:rPr>
          <w:rFonts w:ascii="Calibri" w:cs="Calibri" w:eastAsia="Calibri" w:hAnsi="Calibri"/>
          <w:color w:val="1A1D20"/>
          <w:sz w:val="20"/>
          <w:szCs w:val="20"/>
        </w:rPr>
        <w:t xml:space="preserve">Yield. Egypt grows about six times more on each acre, because the Nile valley is irrigated and cropped twice a year. Yemen farms dry mountain terraces.</w:t>
      </w:r>
    </w:p>
    <w:p>
      <w:pPr>
        <w:spacing w:after="70" w:before="40"/>
      </w:pPr>
      <w:r>
        <w:rPr>
          <w:rFonts w:ascii="Calibri" w:cs="Calibri" w:eastAsia="Calibri" w:hAnsi="Calibri"/>
          <w:b/>
          <w:bCs/>
          <w:color w:val="1F4E5F"/>
          <w:sz w:val="20"/>
          <w:szCs w:val="20"/>
        </w:rPr>
        <w:t xml:space="preserve">19.  </w:t>
      </w:r>
      <w:r>
        <w:rPr>
          <w:rFonts w:ascii="Calibri" w:cs="Calibri" w:eastAsia="Calibri" w:hAnsi="Calibri"/>
          <w:color w:val="1A1D20"/>
          <w:sz w:val="20"/>
          <w:szCs w:val="20"/>
        </w:rPr>
        <w:t xml:space="preserve">Yemen — 37 kg against a 150 kg line, about a quarter of a year's ration. Everyone else is above the line.</w:t>
      </w:r>
    </w:p>
    <w:p>
      <w:pPr>
        <w:spacing w:after="70" w:before="40"/>
      </w:pPr>
      <w:r>
        <w:rPr>
          <w:rFonts w:ascii="Calibri" w:cs="Calibri" w:eastAsia="Calibri" w:hAnsi="Calibri"/>
          <w:b/>
          <w:bCs/>
          <w:color w:val="1F4E5F"/>
          <w:sz w:val="20"/>
          <w:szCs w:val="20"/>
        </w:rPr>
        <w:t xml:space="preserve">20.  </w:t>
      </w:r>
      <w:r>
        <w:rPr>
          <w:rFonts w:ascii="Calibri" w:cs="Calibri" w:eastAsia="Calibri" w:hAnsi="Calibri"/>
          <w:color w:val="1A1D20"/>
          <w:sz w:val="20"/>
          <w:szCs w:val="20"/>
        </w:rPr>
        <w:t xml:space="preserve">No. Niger has almost no machines. Its agricultural density is low because it has a lot of poor land and few farmers on it. The kg-per-acre column settles it: the Netherlands grows 3,602 kg per acre, Niger grows 202. Same low density, opposite reason.</w:t>
      </w:r>
    </w:p>
    <w:p>
      <w:pPr>
        <w:spacing w:after="70" w:before="40"/>
      </w:pPr>
      <w:r>
        <w:rPr>
          <w:rFonts w:ascii="Calibri" w:cs="Calibri" w:eastAsia="Calibri" w:hAnsi="Calibri"/>
          <w:b/>
          <w:bCs/>
          <w:color w:val="1F4E5F"/>
          <w:sz w:val="20"/>
          <w:szCs w:val="20"/>
        </w:rPr>
        <w:t xml:space="preserve">21.  </w:t>
      </w:r>
      <w:r>
        <w:rPr>
          <w:rFonts w:ascii="Calibri" w:cs="Calibri" w:eastAsia="Calibri" w:hAnsi="Calibri"/>
          <w:color w:val="1A1D20"/>
          <w:sz w:val="20"/>
          <w:szCs w:val="20"/>
        </w:rPr>
        <w:t xml:space="preserve">There is no single correct split. A strong answer funds Yemen heavily (production collapse) and Sudan meaningfully (people cut off from food they grew), and funds Egypt little or nothing.</w:t>
      </w:r>
    </w:p>
    <w:p>
      <w:pPr>
        <w:spacing w:after="70" w:before="40"/>
      </w:pPr>
      <w:r>
        <w:rPr>
          <w:rFonts w:ascii="Calibri" w:cs="Calibri" w:eastAsia="Calibri" w:hAnsi="Calibri"/>
          <w:b/>
          <w:bCs/>
          <w:color w:val="1F4E5F"/>
          <w:sz w:val="20"/>
          <w:szCs w:val="20"/>
        </w:rPr>
        <w:t xml:space="preserve">22.  </w:t>
      </w:r>
      <w:r>
        <w:rPr>
          <w:rFonts w:ascii="Calibri" w:cs="Calibri" w:eastAsia="Calibri" w:hAnsi="Calibri"/>
          <w:color w:val="1A1D20"/>
          <w:sz w:val="20"/>
          <w:szCs w:val="20"/>
        </w:rPr>
        <w:t xml:space="preserve">Look for a named step (yield, or ability to pay), a named density, and an honest statement of what was cut.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B9C0BA" w:sz="6"/>
              <w:left w:val="single" w:color="B9C0BA" w:sz="6"/>
              <w:bottom w:val="single" w:color="B9C0BA" w:sz="6"/>
              <w:right w:val="single" w:color="B9C0BA" w:sz="6"/>
            </w:tcBorders>
            <w:shd w:fill="EAEFEA" w:val="clear"/>
            <w:tcMar>
              <w:top w:type="dxa" w:w="90"/>
              <w:left w:type="dxa" w:w="140"/>
              <w:bottom w:type="dxa" w:w="90"/>
              <w:right w:type="dxa" w:w="140"/>
            </w:tcMar>
          </w:tcPr>
          <w:p>
            <w:pPr>
              <w:spacing w:after="0" w:before="0"/>
            </w:pPr>
            <w:r>
              <w:rPr>
                <w:rFonts w:ascii="Calibri" w:cs="Calibri" w:eastAsia="Calibri" w:hAnsi="Calibri"/>
                <w:b/>
                <w:bCs/>
                <w:color w:val="1F4E5F"/>
                <w:sz w:val="18"/>
                <w:szCs w:val="18"/>
              </w:rPr>
              <w:t xml:space="preserve">Listen for:  </w:t>
            </w:r>
            <w:r>
              <w:rPr>
                <w:rFonts w:ascii="Calibri" w:cs="Calibri" w:eastAsia="Calibri" w:hAnsi="Calibri"/>
                <w:color w:val="1A1D20"/>
                <w:sz w:val="19"/>
                <w:szCs w:val="19"/>
              </w:rPr>
              <w:t xml:space="preserve">Question 20 is usually the argument of the period. Let it run — the yield column is the evidence that settles it.</w:t>
            </w:r>
          </w:p>
        </w:tc>
      </w:tr>
    </w:tbl>
    <w:p>
      <w:pPr>
        <w:spacing w:after="180"/>
      </w:pPr>
      <w:r>
        <w:rPr>
          <w:rFonts w:ascii="Calibri" w:cs="Calibri" w:eastAsia="Calibri" w:hAnsi="Calibri"/>
          <w:color w:val="1A1D20"/>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1F4E5F" w:sz="6"/>
              <w:left w:val="single" w:color="1F4E5F" w:sz="6"/>
              <w:bottom w:val="single" w:color="1F4E5F" w:sz="6"/>
              <w:right w:val="single" w:color="1F4E5F" w:sz="6"/>
            </w:tcBorders>
            <w:tcMar>
              <w:top w:type="dxa" w:w="120"/>
              <w:left w:type="dxa" w:w="150"/>
              <w:bottom w:type="dxa" w:w="120"/>
              <w:right w:type="dxa" w:w="150"/>
            </w:tcMar>
          </w:tcPr>
          <w:p>
            <w:pPr>
              <w:spacing w:after="90" w:before="0"/>
            </w:pPr>
            <w:r>
              <w:rPr>
                <w:rFonts w:ascii="Calibri" w:cs="Calibri" w:eastAsia="Calibri" w:hAnsi="Calibri"/>
                <w:b/>
                <w:bCs/>
                <w:color w:val="1F4E5F"/>
                <w:sz w:val="21"/>
                <w:szCs w:val="21"/>
              </w:rPr>
              <w:t xml:space="preserve">THE POINT OF THE WHOLE LAB</w:t>
            </w:r>
          </w:p>
          <w:p>
            <w:pPr>
              <w:spacing w:after="80" w:before="0"/>
            </w:pPr>
            <w:r>
              <w:rPr>
                <w:rFonts w:ascii="Calibri" w:cs="Calibri" w:eastAsia="Calibri" w:hAnsi="Calibri"/>
                <w:color w:val="1A1D20"/>
                <w:sz w:val="20"/>
                <w:szCs w:val="20"/>
              </w:rPr>
              <w:t xml:space="preserve">Egypt and Yemen have almost the same physiological density (8,077 and 6,909) and almost the same farmland per person (0.08 and 0.09 acres). Egypt grows 208 kg of food per person. Yemen grows 37.</w:t>
            </w:r>
          </w:p>
          <w:p>
            <w:pPr>
              <w:spacing w:after="0" w:before="0"/>
            </w:pPr>
            <w:r>
              <w:rPr>
                <w:rFonts w:ascii="Calibri" w:cs="Calibri" w:eastAsia="Calibri" w:hAnsi="Calibri"/>
                <w:b/>
                <w:bCs/>
                <w:color w:val="1A1D20"/>
                <w:sz w:val="20"/>
                <w:szCs w:val="20"/>
              </w:rPr>
              <w:t xml:space="preserve">Density found where the pressure on the land is. It could not tell you who was hungry. That took yield, and then income.</w:t>
            </w:r>
          </w:p>
        </w:tc>
      </w:tr>
    </w:tbl>
    <w:p>
      <w:pPr>
        <w:spacing w:after="180"/>
      </w:pPr>
      <w:r>
        <w:rPr>
          <w:rFonts w:ascii="Calibri" w:cs="Calibri" w:eastAsia="Calibri" w:hAnsi="Calibri"/>
          <w:color w:val="1A1D20"/>
          <w:sz w:val="20"/>
          <w:szCs w:val="20"/>
        </w:rPr>
        <w:t xml:space="preserve"/>
      </w:r>
    </w:p>
    <w:tbl>
      <w:tblPr>
        <w:tblW w:type="dxa" w:w="10080"/>
        <w:tblBorders>
          <w:top w:val="none"/>
          <w:left w:val="none"/>
          <w:bottom w:val="none"/>
          <w:right w:val="none"/>
          <w:insideH w:val="single" w:color="auto" w:sz="4"/>
          <w:insideV w:val="single" w:color="auto" w:sz="4"/>
        </w:tblBorders>
      </w:tblPr>
      <w:tblGrid>
        <w:gridCol w:w="10080"/>
      </w:tblGrid>
      <w:tr>
        <w:tc>
          <w:tcPr>
            <w:tcW w:type="dxa" w:w="10080"/>
            <w:tcBorders>
              <w:top w:val="none"/>
              <w:left w:val="none"/>
              <w:bottom w:val="none"/>
              <w:right w:val="none"/>
            </w:tcBorders>
            <w:shd w:fill="1F4E5F" w:val="clear"/>
            <w:tcMar>
              <w:top w:type="dxa" w:w="70"/>
              <w:left w:type="dxa" w:w="130"/>
              <w:bottom w:type="dxa" w:w="70"/>
              <w:right w:type="dxa" w:w="130"/>
            </w:tcMar>
          </w:tcPr>
          <w:p>
            <w:pPr>
              <w:spacing w:after="0"/>
            </w:pPr>
            <w:r>
              <w:rPr>
                <w:rFonts w:ascii="Calibri" w:cs="Calibri" w:eastAsia="Calibri" w:hAnsi="Calibri"/>
                <w:b/>
                <w:bCs/>
                <w:color w:val="FFFFFF"/>
                <w:sz w:val="22"/>
                <w:szCs w:val="22"/>
              </w:rPr>
              <w:t xml:space="preserve">AFTER  </w:t>
            </w:r>
            <w:r>
              <w:rPr>
                <w:rFonts w:ascii="Calibri" w:cs="Calibri" w:eastAsia="Calibri" w:hAnsi="Calibri"/>
                <w:b/>
                <w:bCs/>
                <w:color w:val="FFFFFF"/>
                <w:sz w:val="22"/>
                <w:szCs w:val="22"/>
              </w:rPr>
              <w:t xml:space="preserve">Debrief</w:t>
            </w:r>
            <w:r>
              <w:rPr>
                <w:rFonts w:ascii="Calibri" w:cs="Calibri" w:eastAsia="Calibri" w:hAnsi="Calibri"/>
                <w:color w:val="C9D8DC"/>
                <w:sz w:val="17"/>
                <w:szCs w:val="17"/>
              </w:rPr>
              <w:t xml:space="preserve">      </w:t>
            </w:r>
          </w:p>
        </w:tc>
      </w:tr>
    </w:tbl>
    <w:p>
      <w:pPr>
        <w:spacing w:after="120"/>
      </w:pPr>
      <w:r>
        <w:rPr>
          <w:rFonts w:ascii="Calibri" w:cs="Calibri" w:eastAsia="Calibri" w:hAnsi="Calibri"/>
          <w:color w:val="1A1D20"/>
          <w:sz w:val="20"/>
          <w:szCs w:val="20"/>
        </w:rPr>
        <w:t xml:space="preserve"/>
      </w:r>
    </w:p>
    <w:p>
      <w:pPr>
        <w:spacing w:after="70" w:before="40"/>
      </w:pPr>
      <w:r>
        <w:rPr>
          <w:rFonts w:ascii="Calibri" w:cs="Calibri" w:eastAsia="Calibri" w:hAnsi="Calibri"/>
          <w:b/>
          <w:bCs/>
          <w:color w:val="1F4E5F"/>
          <w:sz w:val="20"/>
          <w:szCs w:val="20"/>
        </w:rPr>
        <w:t xml:space="preserve">23.  </w:t>
      </w:r>
      <w:r>
        <w:rPr>
          <w:rFonts w:ascii="Calibri" w:cs="Calibri" w:eastAsia="Calibri" w:hAnsi="Calibri"/>
          <w:color w:val="1A1D20"/>
          <w:sz w:val="20"/>
          <w:szCs w:val="20"/>
        </w:rPr>
        <w:t xml:space="preserve">Copied from the printed recommendation. A learning pair usually reads: Arithmetic → Physiological → Physiological → Cereal shortfall.</w:t>
      </w:r>
    </w:p>
    <w:p>
      <w:pPr>
        <w:spacing w:after="70" w:before="40"/>
      </w:pPr>
      <w:r>
        <w:rPr>
          <w:rFonts w:ascii="Calibri" w:cs="Calibri" w:eastAsia="Calibri" w:hAnsi="Calibri"/>
          <w:b/>
          <w:bCs/>
          <w:color w:val="1F4E5F"/>
          <w:sz w:val="20"/>
          <w:szCs w:val="20"/>
        </w:rPr>
        <w:t xml:space="preserve">24.  </w:t>
      </w:r>
      <w:r>
        <w:rPr>
          <w:rFonts w:ascii="Calibri" w:cs="Calibri" w:eastAsia="Calibri" w:hAnsi="Calibri"/>
          <w:color w:val="1A1D20"/>
          <w:sz w:val="20"/>
          <w:szCs w:val="20"/>
        </w:rPr>
        <w:t xml:space="preserve">Only the evidence changed — and what they chose to measure. A row that never moves means a pair either reasoned unusually well in Round 1 or stopped reading after it; their written answers will tell you which.</w:t>
      </w:r>
    </w:p>
    <w:p>
      <w:pPr>
        <w:spacing w:after="70" w:before="40"/>
      </w:pPr>
      <w:r>
        <w:rPr>
          <w:rFonts w:ascii="Calibri" w:cs="Calibri" w:eastAsia="Calibri" w:hAnsi="Calibri"/>
          <w:b/>
          <w:bCs/>
          <w:color w:val="1F4E5F"/>
          <w:sz w:val="20"/>
          <w:szCs w:val="20"/>
        </w:rPr>
        <w:t xml:space="preserve">25.  </w:t>
      </w:r>
      <w:r>
        <w:rPr>
          <w:rFonts w:ascii="Calibri" w:cs="Calibri" w:eastAsia="Calibri" w:hAnsi="Calibri"/>
          <w:color w:val="1A1D20"/>
          <w:sz w:val="20"/>
          <w:szCs w:val="20"/>
        </w:rPr>
        <w:t xml:space="preserve">Best answers do not name a single one. Physiological density found Egypt and Yemen; it missed Sudan and Niger. Accept any measure defended with an example.</w:t>
      </w:r>
    </w:p>
    <w:p>
      <w:pPr>
        <w:spacing w:after="70" w:before="40"/>
      </w:pPr>
      <w:r>
        <w:rPr>
          <w:rFonts w:ascii="Calibri" w:cs="Calibri" w:eastAsia="Calibri" w:hAnsi="Calibri"/>
          <w:b/>
          <w:bCs/>
          <w:color w:val="1F4E5F"/>
          <w:sz w:val="20"/>
          <w:szCs w:val="20"/>
        </w:rPr>
        <w:t xml:space="preserve">26.  </w:t>
      </w:r>
      <w:r>
        <w:rPr>
          <w:rFonts w:ascii="Calibri" w:cs="Calibri" w:eastAsia="Calibri" w:hAnsi="Calibri"/>
          <w:color w:val="1A1D20"/>
          <w:sz w:val="20"/>
          <w:szCs w:val="20"/>
        </w:rPr>
        <w:t xml:space="preserve">Arithmetic density is the usual answer — Egypt looked safe at 226. Agricultural density is the sharper answer, because a low number can mean tractors or poverty.</w:t>
      </w:r>
    </w:p>
    <w:p>
      <w:pPr>
        <w:spacing w:after="70" w:before="40"/>
      </w:pPr>
      <w:r>
        <w:rPr>
          <w:rFonts w:ascii="Calibri" w:cs="Calibri" w:eastAsia="Calibri" w:hAnsi="Calibri"/>
          <w:b/>
          <w:bCs/>
          <w:color w:val="1F4E5F"/>
          <w:sz w:val="20"/>
          <w:szCs w:val="20"/>
        </w:rPr>
        <w:t xml:space="preserve">27.  </w:t>
      </w:r>
      <w:r>
        <w:rPr>
          <w:rFonts w:ascii="Calibri" w:cs="Calibri" w:eastAsia="Calibri" w:hAnsi="Calibri"/>
          <w:color w:val="1A1D20"/>
          <w:sz w:val="20"/>
          <w:szCs w:val="20"/>
        </w:rPr>
        <w:t xml:space="preserve">Model: “Density tells you how crowded the farmland is, but it does not tell you how much food that land grows, or whether people can reach it.”</w:t>
      </w:r>
    </w:p>
    <w:p>
      <w:pPr>
        <w:spacing w:after="200"/>
      </w:pPr>
      <w:r>
        <w:rPr>
          <w:rFonts w:ascii="Calibri" w:cs="Calibri" w:eastAsia="Calibri" w:hAnsi="Calibri"/>
          <w:color w:val="1A1D20"/>
          <w:sz w:val="20"/>
          <w:szCs w:val="20"/>
        </w:rPr>
        <w:t xml:space="preserve"/>
      </w:r>
    </w:p>
    <w:p>
      <w:pPr>
        <w:spacing w:after="70" w:before="0"/>
      </w:pPr>
      <w:r>
        <w:rPr>
          <w:rFonts w:ascii="Calibri" w:cs="Calibri" w:eastAsia="Calibri" w:hAnsi="Calibri"/>
          <w:b/>
          <w:bCs/>
          <w:color w:val="1F4E5F"/>
          <w:sz w:val="20"/>
          <w:szCs w:val="20"/>
        </w:rPr>
        <w:t xml:space="preserve">Data note</w:t>
      </w:r>
    </w:p>
    <w:p>
      <w:pPr>
        <w:spacing w:after="80" w:before="0"/>
      </w:pPr>
      <w:r>
        <w:rPr>
          <w:rFonts w:ascii="Calibri" w:cs="Calibri" w:eastAsia="Calibri" w:hAnsi="Calibri"/>
          <w:color w:val="5A6167"/>
          <w:sz w:val="19"/>
          <w:szCs w:val="19"/>
        </w:rPr>
        <w:t xml:space="preserve">Figures are CIA World Factbook-era (2018–2022), chosen so Egypt (226 / 8,078) and Bangladesh (2,914 / 4,938) reproduce the AMSCO Topic 2.1 table on p.59. Farmer counts are estimates from agricultural share of employment, so agricultural densities are approximate — worth saying aloud. Sudan, Yemen and Niger are active humanitarian emergencies and the numbers move; check them before you teach this.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Allocation — Answer Key</dc:title>
  <dc:creator>Global Food Security Unit</dc:creator>
  <cp:lastModifiedBy>Un-named</cp:lastModifiedBy>
  <cp:revision>1</cp:revision>
  <dcterms:created xsi:type="dcterms:W3CDTF">2026-08-22T23:17:23.006Z</dcterms:created>
  <dcterms:modified xsi:type="dcterms:W3CDTF">2026-08-22T23:17:23.006Z</dcterms:modified>
</cp:coreProperties>
</file>

<file path=docProps/custom.xml><?xml version="1.0" encoding="utf-8"?>
<Properties xmlns="http://schemas.openxmlformats.org/officeDocument/2006/custom-properties" xmlns:vt="http://schemas.openxmlformats.org/officeDocument/2006/docPropsVTypes"/>
</file>