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10" w:rsidRPr="00F16010" w:rsidRDefault="00F16010" w:rsidP="00F16010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8"/>
          <w:szCs w:val="28"/>
          <w:lang w:val="en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val="en"/>
        </w:rPr>
        <w:t>Create a Network</w:t>
      </w:r>
    </w:p>
    <w:p w:rsidR="00F16010" w:rsidRPr="00F16010" w:rsidRDefault="00F16010" w:rsidP="00F16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From a browser, navigate to the </w:t>
      </w:r>
      <w:hyperlink r:id="rId5" w:history="1">
        <w:r w:rsidRPr="00F16010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Azure portal</w:t>
        </w:r>
      </w:hyperlink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sign in with your Azure account.</w:t>
      </w:r>
    </w:p>
    <w:p w:rsidR="00F16010" w:rsidRPr="00F16010" w:rsidRDefault="00F16010" w:rsidP="00F16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Click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 a resource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In the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Search the marketplace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field, type 'virtual network'. Locate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Virtual network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from the returned list and click to open the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Virtual Network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page.</w:t>
      </w:r>
    </w:p>
    <w:p w:rsidR="00F16010" w:rsidRPr="00F16010" w:rsidRDefault="00F16010" w:rsidP="00F16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Near the bottom of the Virtual Network page, from the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Select a deployment model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list, select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Resource Manager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and then click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 This opens the 'Create virtual network' page.</w:t>
      </w:r>
    </w:p>
    <w:p w:rsidR="00F16010" w:rsidRPr="00F16010" w:rsidRDefault="00F16010" w:rsidP="00F16010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2152593" cy="6140832"/>
            <wp:effectExtent l="0" t="0" r="635" b="0"/>
            <wp:docPr id="3" name="Picture 3" descr="Create virtual network p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e virtual network p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10" cy="621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10" w:rsidRPr="00F16010" w:rsidRDefault="00F16010" w:rsidP="00F16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 xml:space="preserve">On the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 virtual network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page, configure the </w:t>
      </w:r>
      <w:proofErr w:type="spellStart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VNet</w:t>
      </w:r>
      <w:proofErr w:type="spellEnd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settings. When you fill in the fields, the red exclamation mark becomes a green check mark when the characters entered in the field are valid.</w:t>
      </w:r>
    </w:p>
    <w:p w:rsidR="00F16010" w:rsidRPr="00F16010" w:rsidRDefault="00F16010" w:rsidP="00F16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Name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 Enter the name for your virtual network. In this example, we use VNet1.</w:t>
      </w:r>
    </w:p>
    <w:p w:rsidR="00F16010" w:rsidRPr="00F16010" w:rsidRDefault="00F16010" w:rsidP="00F16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Address space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: Enter the address space. If you have multiple address spaces to add, add your first address space. You can add additional address spaces later, after creating the </w:t>
      </w:r>
      <w:proofErr w:type="spellStart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VNet</w:t>
      </w:r>
      <w:proofErr w:type="spellEnd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 Make sure that the address space that you specify does not overlap with the address space for your on-premises location.</w:t>
      </w:r>
    </w:p>
    <w:p w:rsidR="00F16010" w:rsidRPr="00F16010" w:rsidRDefault="00F16010" w:rsidP="00F16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Subscription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: Verify that the subscription listed is the correct one. You can change subscriptions by using the drop-down.</w:t>
      </w:r>
    </w:p>
    <w:p w:rsidR="00F16010" w:rsidRPr="00F16010" w:rsidRDefault="00F16010" w:rsidP="00F16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Resource group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: Select an existing resource group, or create a new one by typing a name for your new resource group. If you are creating a new group, name the resource group according to your planned configuration values. For more information about resource groups, visit </w:t>
      </w:r>
      <w:hyperlink r:id="rId8" w:anchor="resource-groups" w:history="1">
        <w:r w:rsidRPr="00F16010">
          <w:rPr>
            <w:rFonts w:ascii="Segoe UI" w:eastAsia="Times New Roman" w:hAnsi="Segoe UI" w:cs="Segoe UI"/>
            <w:color w:val="0366D6"/>
            <w:sz w:val="21"/>
            <w:szCs w:val="21"/>
            <w:lang w:val="en"/>
          </w:rPr>
          <w:t>Azure Resource Manager Overview</w:t>
        </w:r>
      </w:hyperlink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F16010" w:rsidRPr="00F16010" w:rsidRDefault="00F16010" w:rsidP="00F16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Location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: Select the location for your </w:t>
      </w:r>
      <w:proofErr w:type="spellStart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VNet</w:t>
      </w:r>
      <w:proofErr w:type="spellEnd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The location determines where the resources that you deploy to this </w:t>
      </w:r>
      <w:proofErr w:type="spellStart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VNet</w:t>
      </w:r>
      <w:proofErr w:type="spellEnd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will reside.</w:t>
      </w:r>
    </w:p>
    <w:p w:rsidR="00F16010" w:rsidRPr="00F16010" w:rsidRDefault="00F16010" w:rsidP="00F160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Subnet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: Add the first subnet name and subnet address range. You can add additional subnets and the gateway subnet later, after creating this </w:t>
      </w:r>
      <w:proofErr w:type="spellStart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VNet</w:t>
      </w:r>
      <w:proofErr w:type="spellEnd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F16010" w:rsidRDefault="00F16010" w:rsidP="00F16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Select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Pin to dashboard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if you want to be able to find your </w:t>
      </w:r>
      <w:proofErr w:type="spellStart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VNet</w:t>
      </w:r>
      <w:proofErr w:type="spellEnd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easily on the dashboard, and then click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After clicking </w:t>
      </w:r>
      <w:r w:rsidRPr="00F1601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Create</w:t>
      </w:r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you will see a tile on your dashboard that will reflect the progress of your </w:t>
      </w:r>
      <w:proofErr w:type="spellStart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VNet</w:t>
      </w:r>
      <w:proofErr w:type="spellEnd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. The tile changes as the </w:t>
      </w:r>
      <w:proofErr w:type="spellStart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VNet</w:t>
      </w:r>
      <w:proofErr w:type="spellEnd"/>
      <w:r w:rsidRPr="00F16010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is being created.</w:t>
      </w:r>
    </w:p>
    <w:p w:rsidR="000C30D5" w:rsidRDefault="000C30D5" w:rsidP="00F16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Click Automation options and explain that this creates a JSON-based ARM template that can be used to deploy additional networks.</w:t>
      </w:r>
    </w:p>
    <w:p w:rsidR="000C30D5" w:rsidRDefault="00D923FD" w:rsidP="00F16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Wait for Vnet1 to be completed then click Resource Groups and click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TempeRG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D923FD" w:rsidRDefault="00D923FD" w:rsidP="00F16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In the Tempe RG, click Vnet1.</w:t>
      </w:r>
    </w:p>
    <w:p w:rsidR="00D923FD" w:rsidRDefault="00D923FD" w:rsidP="00F16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In </w:t>
      </w: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Vnet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1, click Subnets.</w:t>
      </w:r>
    </w:p>
    <w:p w:rsidR="00D923FD" w:rsidRDefault="00D923FD" w:rsidP="00F160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In Subnets, click +Subnet to create a new subnet with the following:</w:t>
      </w:r>
    </w:p>
    <w:p w:rsidR="00D923FD" w:rsidRDefault="00D923FD" w:rsidP="00D923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Name:   Backend</w:t>
      </w:r>
    </w:p>
    <w:p w:rsidR="00D923FD" w:rsidRDefault="00D923FD" w:rsidP="00D923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Address Range:  10.1.2.0</w:t>
      </w:r>
    </w:p>
    <w:p w:rsidR="00D923FD" w:rsidRDefault="00D923FD" w:rsidP="00D92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Click OK. </w:t>
      </w:r>
      <w:bookmarkStart w:id="0" w:name="_GoBack"/>
      <w:bookmarkEnd w:id="0"/>
    </w:p>
    <w:p w:rsidR="00D923FD" w:rsidRPr="00D923FD" w:rsidRDefault="00D923FD" w:rsidP="00D923FD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ab/>
      </w:r>
    </w:p>
    <w:p w:rsidR="000C30D5" w:rsidRPr="00F16010" w:rsidRDefault="000C30D5" w:rsidP="000C30D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:rsidR="005F05BD" w:rsidRDefault="005F05BD"/>
    <w:sectPr w:rsidR="005F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434B5"/>
    <w:multiLevelType w:val="multilevel"/>
    <w:tmpl w:val="5E0C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80794"/>
    <w:multiLevelType w:val="multilevel"/>
    <w:tmpl w:val="C1EA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B34EF"/>
    <w:multiLevelType w:val="multilevel"/>
    <w:tmpl w:val="E122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6D1FAA"/>
    <w:multiLevelType w:val="multilevel"/>
    <w:tmpl w:val="FD1E12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D63ED"/>
    <w:multiLevelType w:val="multilevel"/>
    <w:tmpl w:val="93BE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10"/>
    <w:rsid w:val="000C30D5"/>
    <w:rsid w:val="005F05BD"/>
    <w:rsid w:val="00D923FD"/>
    <w:rsid w:val="00F1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76C49-500F-45B7-9367-581394C0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443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7049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Docs/azure-docs/blob/master/articles/azure-resource-manager/resource-group-overview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Docs/azure-docs/blob/master/includes/media/vpn-gateway-create-virtual-network-portal-include/create-virtual-network.png" TargetMode="External"/><Relationship Id="rId5" Type="http://schemas.openxmlformats.org/officeDocument/2006/relationships/hyperlink" Target="http://portal.azu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3</cp:revision>
  <dcterms:created xsi:type="dcterms:W3CDTF">2018-05-09T23:32:00Z</dcterms:created>
  <dcterms:modified xsi:type="dcterms:W3CDTF">2018-05-16T15:52:00Z</dcterms:modified>
</cp:coreProperties>
</file>