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028"/>
        <w:tblLayout w:type="fixed"/>
        <w:tblLook w:firstRow="1" w:lastRow="0" w:firstColumn="0" w:lastColumn="0" w:noHBand="0" w:noVBand="0" w:val="0020"/>
      </w:tblPr>
      <w:tblGrid>
        <w:gridCol w:w="2090"/>
        <w:gridCol w:w="209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/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-1.918</w:t>
            </w:r>
          </w:p>
        </w:tc>
        <w:tc>
          <w:tcPr/>
          <w:p>
            <w:pPr>
              <w:pStyle w:val="Compact"/>
            </w:pPr>
            <w:r>
              <w:t xml:space="preserve">92.722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[-2.023, -1.813]</w:t>
            </w:r>
          </w:p>
        </w:tc>
        <w:tc>
          <w:tcPr/>
          <w:p>
            <w:pPr>
              <w:pStyle w:val="Compact"/>
            </w:pPr>
            <w:r>
              <w:t xml:space="preserve">[78.987, 108.845]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arblQuote_frauen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[-0.057, -0.018]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ost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[0.712, 0.891]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-1182.8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-1168.0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2025-11-29T11:31:58Z</dcterms:created>
  <dcterms:modified xsi:type="dcterms:W3CDTF">2025-11-29T11:31:58Z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