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611"/>
        <w:tblLayout w:type="fixed"/>
        <w:tblLook w:firstRow="1" w:lastRow="0" w:firstColumn="0" w:lastColumn="0" w:noHBand="0" w:noVBand="0" w:val="0020"/>
      </w:tblPr>
      <w:tblGrid>
        <w:gridCol w:w="1540"/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/>
        </w:tc>
      </w:tr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conditional</w:t>
            </w:r>
          </w:p>
        </w:tc>
        <w:tc>
          <w:tcPr/>
          <w:p>
            <w:pPr>
              <w:pStyle w:val="Compact"/>
            </w:pPr>
            <w:r>
              <w:t xml:space="preserve">dispersion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56.577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[-0.590, 0.281]</w:t>
            </w:r>
          </w:p>
        </w:tc>
        <w:tc>
          <w:tcPr/>
          <w:p>
            <w:pPr>
              <w:pStyle w:val="Compact"/>
            </w:pPr>
            <w:r>
              <w:t xml:space="preserve">[48.195, 66.416]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einkommen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[-0.000, -0.000]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299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-1038.5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-1027.4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2026-01-12T19:36:32Z</dcterms:created>
  <dcterms:modified xsi:type="dcterms:W3CDTF">2026-01-12T19:36:32Z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