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363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  <w:tc>
          <w:tcPr/>
          <w:p>
            <w:pPr>
              <w:pStyle w:val="Compact"/>
            </w:pPr>
            <w:r>
              <w:t xml:space="preserve">72.860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[-1.761, 0.512]</w:t>
            </w:r>
          </w:p>
        </w:tc>
        <w:tc>
          <w:tcPr/>
          <w:p>
            <w:pPr>
              <w:pStyle w:val="Compact"/>
            </w:pPr>
            <w:r>
              <w:t xml:space="preserve">[62.068, 85.529]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gebursaldo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[-0.076, -0.043]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[-0.005,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wandssaldo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[-0.024, -0.005]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arblQuote_jugend</w:t>
            </w:r>
          </w:p>
        </w:tc>
        <w:tc>
          <w:tcPr/>
          <w:p>
            <w:pPr>
              <w:pStyle w:val="Compact"/>
            </w:pPr>
            <w:r>
              <w:t xml:space="preserve">-0.697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[-0.929, -0.465]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 × arblQuote_jugend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[0.001, 0.002]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-1105.5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-1079.6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2026-01-12T13:17:37Z</dcterms:created>
  <dcterms:modified xsi:type="dcterms:W3CDTF">2026-01-12T13:17:37Z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