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AAB" w:rsidRPr="00E77E97" w:rsidRDefault="00CD5AAB" w:rsidP="00052F90">
      <w:pPr>
        <w:rPr>
          <w:b/>
        </w:rPr>
      </w:pPr>
      <w:r w:rsidRPr="00E77E97">
        <w:rPr>
          <w:b/>
        </w:rPr>
        <w:t>Literature on food retailing (27/07/2016)</w:t>
      </w:r>
    </w:p>
    <w:p w:rsidR="00CD5AAB" w:rsidRPr="00052F90" w:rsidRDefault="00CD5AAB" w:rsidP="00052F90"/>
    <w:p w:rsidR="00CD5AAB" w:rsidRPr="00E77E97" w:rsidRDefault="00CD5AAB" w:rsidP="00052F90">
      <w:pPr>
        <w:rPr>
          <w:b/>
        </w:rPr>
      </w:pPr>
      <w:bookmarkStart w:id="0" w:name="_GoBack"/>
      <w:bookmarkEnd w:id="0"/>
      <w:r w:rsidRPr="00E77E97">
        <w:rPr>
          <w:b/>
        </w:rPr>
        <w:t>Gonzalez and Miles (WP) - Price Dispersion and Supermarket Heterogeneity in Spanish Food Retailing</w:t>
      </w:r>
    </w:p>
    <w:p w:rsidR="00CD5AAB" w:rsidRDefault="00CD5AAB" w:rsidP="00052F90"/>
    <w:p w:rsidR="00CD5AAB" w:rsidRPr="00E77E97" w:rsidRDefault="00CD5AAB" w:rsidP="00E77E97">
      <w:r w:rsidRPr="00E77E97">
        <w:t xml:space="preserve">"In this paper we have analyzed the existence and characteristics of price dispersion in different regional markets in </w:t>
      </w:r>
      <w:smartTag w:uri="urn:schemas-microsoft-com:office:smarttags" w:element="country-region">
        <w:smartTag w:uri="urn:schemas-microsoft-com:office:smarttags" w:element="place">
          <w:r w:rsidRPr="00E77E97">
            <w:t>Spain</w:t>
          </w:r>
        </w:smartTag>
      </w:smartTag>
      <w:r w:rsidRPr="00E77E97">
        <w:t xml:space="preserve"> and its persistence over time; we have also measured the extent to which search cost and vertical product differentiation contribute to price dispersion. With this aim we estimate the consumer search cost model developed by Wildenbeest (2011) following the non sequential search model of Burdett and Judd (1983).</w:t>
      </w:r>
    </w:p>
    <w:p w:rsidR="00CD5AAB" w:rsidRPr="00E77E97" w:rsidRDefault="00CD5AAB" w:rsidP="00E77E97">
      <w:r w:rsidRPr="00E77E97">
        <w:t>Quantifying search costs has implications for competition policy because it can affect market competitiveness even more than market structure (Waterson, 2003). In fact, consumer information about prices is a necessary condition for markets to be truly competitive. If consumers do not search at all about prices, then the monopoly price would prevail in equilibrium (Diamond, 1971) shows; however, markets where some consumers search once and others search twice or more, price dispersion will be an equilibrium (Burdett and Judd, 1983). Regulations that aim to promote competition must account for the distortions due to informational restrictions. Thus Stahl (1989) shows that, in the presence of search costs, firm entry need not necessarily improve welfare. Similarly, Lach and Moraga-González (2012) find that consumer surplus always (albeit weakly) decreases with increased competition. Furthermore, Competition Policy might also be aware of those firms’ practices that aim of obfuscating consumers (Ellison and Ellison, 2009).</w:t>
      </w:r>
    </w:p>
    <w:p w:rsidR="00CD5AAB" w:rsidRDefault="00CD5AAB" w:rsidP="00E77E97">
      <w:r w:rsidRPr="00E77E97">
        <w:t>Our main results can be summarized as follows: First, price dispersion across supermarkets is persistent and differs across product categories; also remains even after we control for store heterogeneity. Second, we find that supermarkets employ heterogeneous pricing strategies. For example, Auchan and El Corte Inglés are the chains at which prices change with highest frequency. In particular, the prices for half of the products sold by Auchan changed more than five times in six months. The signs of these changes are fairly balanced (both positive and negative), which is consistent with the phenomenon of periodic sales. The size of a price change is small: half of them are less than 5% in absolute terms. Third, all the studied supermarkets (except Auchan) tend to maintain the same prices at their different locations. This result confirms that supermarkets differ in their pricing strategies and that prices are usually determined at the chain level. The sole exception is again Auchan, a chain whose individual stores that set their own prices. Fourth, after comparing the prices for a homogeneous basket containing the 23 most popular products, we find that Auchan always has the lowest price despite frequently changing prices. Price ranking positions of the other supermarkets changed quite often.</w:t>
      </w:r>
      <w:r>
        <w:t>"</w:t>
      </w:r>
    </w:p>
    <w:p w:rsidR="00CD5AAB" w:rsidRDefault="00CD5AAB" w:rsidP="00E77E97"/>
    <w:p w:rsidR="00CD5AAB" w:rsidRPr="00E77E97" w:rsidRDefault="00CD5AAB" w:rsidP="00E77E97">
      <w:pPr>
        <w:rPr>
          <w:b/>
        </w:rPr>
      </w:pPr>
      <w:r w:rsidRPr="00E77E97">
        <w:rPr>
          <w:b/>
        </w:rPr>
        <w:t>Dubois and Perrone (WP) - Price Dispersion and Informational Frictions: Evidence from Supermarket Purchases</w:t>
      </w:r>
    </w:p>
    <w:p w:rsidR="00CD5AAB" w:rsidRDefault="00CD5AAB" w:rsidP="00E77E97"/>
    <w:p w:rsidR="00CD5AAB" w:rsidRPr="00E77E97" w:rsidRDefault="00CD5AAB" w:rsidP="00E77E97">
      <w:r>
        <w:t>"</w:t>
      </w:r>
      <w:r w:rsidRPr="00E77E97">
        <w:t>Price dispersion is an important characteristic of the French food market. Price dispersion is</w:t>
      </w:r>
      <w:r>
        <w:t xml:space="preserve"> </w:t>
      </w:r>
      <w:r w:rsidRPr="00E77E97">
        <w:t xml:space="preserve">also persistent over time, with stores frequently changing positions in the price ranking, implying that it is difficult for consumers to be perfectly informed about prices in every period. We find empirical evidence consistent with a demand model with imperfectly informed consumers who need to engage in costly search to </w:t>
      </w:r>
      <w:r>
        <w:t>fi</w:t>
      </w:r>
      <w:r w:rsidRPr="00E77E97">
        <w:t xml:space="preserve">nd the available deals. We show that consumers with a high opportunity cost of time search less and pay higher prices on average. Moreover, the number of stores that a household visits in a certain week, which can be seen as a proxy for search activity, is negatively correlated with prices. </w:t>
      </w:r>
    </w:p>
    <w:p w:rsidR="00CD5AAB" w:rsidRPr="00E77E97" w:rsidRDefault="00CD5AAB" w:rsidP="00E77E97">
      <w:r w:rsidRPr="00E77E97">
        <w:t>We develop an empirical strategy to estimate the magnitude and distribution of sequential search costs. Products are vertically differentiated, and consumer tastes are heterogeneous. We identify the search cost distribution without having to make any restriction on the drawing probabilities of stores. The drawing probabilities are recovered from the data and are heterogeneous across time, store chain, and household type.</w:t>
      </w:r>
    </w:p>
    <w:p w:rsidR="00CD5AAB" w:rsidRDefault="00CD5AAB" w:rsidP="00E77E97">
      <w:r w:rsidRPr="00E77E97">
        <w:t xml:space="preserve">The results of the structural estimation show that search costs for the products considered (beer, coffee, cola, and whisky) are high and that the majority of consumers do not search much.There is also indication that urban consumers tend to search more than rural consumers, which is likely related to higher store density in urban areas, which decreases the cost of visiting multiple stores. Price elasticity measures show that the perfect information model yields biased elasticities. The magnitude of the bias is large, and its direction depends on the product. This is in line with Koulayev (2014).s results. Further note that previous literature reports both overestimation (Sovinsky, 2008) and underestimation (De los </w:t>
      </w:r>
      <w:smartTag w:uri="urn:schemas-microsoft-com:office:smarttags" w:element="City">
        <w:smartTag w:uri="urn:schemas-microsoft-com:office:smarttags" w:element="place">
          <w:r w:rsidRPr="00E77E97">
            <w:t>Santos</w:t>
          </w:r>
        </w:smartTag>
      </w:smartTag>
      <w:r w:rsidRPr="00E77E97">
        <w:t>, Hortaçsu and Wildenbeest, 2012, Honka, 2014) of the imperfect information measures.</w:t>
      </w:r>
      <w:r>
        <w:t>"</w:t>
      </w:r>
    </w:p>
    <w:p w:rsidR="00CD5AAB" w:rsidRDefault="00CD5AAB" w:rsidP="00E77E97"/>
    <w:p w:rsidR="00CD5AAB" w:rsidRPr="00916140" w:rsidRDefault="00CD5AAB" w:rsidP="00916140">
      <w:pPr>
        <w:rPr>
          <w:b/>
        </w:rPr>
      </w:pPr>
      <w:r w:rsidRPr="00916140">
        <w:rPr>
          <w:b/>
        </w:rPr>
        <w:t>Turolla (201?) - Spatial competition in the French supermarket industry</w:t>
      </w:r>
    </w:p>
    <w:p w:rsidR="00CD5AAB" w:rsidRPr="00916140" w:rsidRDefault="00CD5AAB" w:rsidP="00916140"/>
    <w:p w:rsidR="00CD5AAB" w:rsidRDefault="00CD5AAB" w:rsidP="00916140">
      <w:r w:rsidRPr="00916140">
        <w:t xml:space="preserve">This paper addresses the issue of the French grocery retail sector’s competitive intensity. I develop and estimate a structural model of demand in which households have preferences over both store characteristics and geographic proximity. The methodology combines previous contributions of the literature on discrete choice models of demand among spatially differentiated firms and an original approach to determine the household-specific shopping basket. In addition, the paper extends the existing literature devoted to appraising retailers’ market power by accounting for the store’s ability to set its prices according to the local market structure. As shown by recent inquiries, “price flexing” is a key feature of the business strategy applied by French retail chains and consequently, an important dimension of a store’s market power. Using the estimated parameters of the demand model, I recover the stores’ price-cost margin under alternative pricing strategies, which differ by the degree of cooperation across stores while fitting into this framework. I then select the preferred pricing model by applying a non-nested testing procedure. </w:t>
      </w:r>
    </w:p>
    <w:p w:rsidR="00CD5AAB" w:rsidRDefault="00CD5AAB" w:rsidP="00916140">
      <w:r w:rsidRPr="00916140">
        <w:t xml:space="preserve">The model is estimated for a French metropolitan area using a cross-sectional household survey containing detailed information on the stores visited for the main food product categories. The results show that the stores set prices according to the most competitive scenario. This finding rules out any collusive behavior as a cause of local monopoly power. The average estimated level of profitability exhibits no signs of low degree competition in this market. However, a closer look at the results shows important differences among the stores. These differences indicate that a significant proportion of large grocery stores exert excessive market power. In practice, these stores take advantage of a weakly competitive environment to distort their offer and increase their margin. For instance, I find that the stores that compete with, at most, three rivals within </w:t>
      </w:r>
      <w:smartTag w:uri="urn:schemas-microsoft-com:office:smarttags" w:element="metricconverter">
        <w:smartTagPr>
          <w:attr w:name="ProductID" w:val="5 km"/>
        </w:smartTagPr>
        <w:r w:rsidRPr="00916140">
          <w:t>5 km</w:t>
        </w:r>
      </w:smartTag>
      <w:r w:rsidRPr="00916140">
        <w:t xml:space="preserve"> set their margin six percentage points higher on average than other stores. Although the survey is based on data covering a single market area, I have good confidence that the findings can be extended to </w:t>
      </w:r>
      <w:smartTag w:uri="urn:schemas-microsoft-com:office:smarttags" w:element="country-region">
        <w:smartTag w:uri="urn:schemas-microsoft-com:office:smarttags" w:element="place">
          <w:r w:rsidRPr="00916140">
            <w:t>France</w:t>
          </w:r>
        </w:smartTag>
      </w:smartTag>
      <w:r w:rsidRPr="00916140">
        <w:t xml:space="preserve"> because of its lower degree of concentration compared with other market areas (see Table 1).</w:t>
      </w:r>
    </w:p>
    <w:p w:rsidR="00CD5AAB" w:rsidRPr="00916140" w:rsidRDefault="00CD5AAB" w:rsidP="00916140">
      <w:r w:rsidRPr="00916140">
        <w:t>Together, the results contribute to the debate on the level of competition in the  French grocery retailing sector. I provide new empirical evidence on the existence of market areas with a low degree of competition based on the low density of the stores combined with a high disutility to travel expressed by the consumers in the area. The counterfactual experiments show that by promoting the entry of a new competitor, one significantly improves the consumer welfare and almost always decreases the price levels of foodstuffs. More generally, the simulations speak in favor of a relaxation of the regulation at the market entrance.</w:t>
      </w:r>
    </w:p>
    <w:p w:rsidR="00CD5AAB" w:rsidRDefault="00CD5AAB" w:rsidP="00E77E97"/>
    <w:p w:rsidR="00CD5AAB" w:rsidRPr="00916140" w:rsidRDefault="00CD5AAB" w:rsidP="00916140">
      <w:pPr>
        <w:rPr>
          <w:b/>
        </w:rPr>
      </w:pPr>
      <w:r w:rsidRPr="00916140">
        <w:rPr>
          <w:b/>
        </w:rPr>
        <w:t xml:space="preserve">Alain et al (2016?) -The impact of retail mergers on food prices: evidence from </w:t>
      </w:r>
      <w:smartTag w:uri="urn:schemas-microsoft-com:office:smarttags" w:element="place">
        <w:smartTag w:uri="urn:schemas-microsoft-com:office:smarttags" w:element="country-region">
          <w:r w:rsidRPr="00916140">
            <w:rPr>
              <w:b/>
            </w:rPr>
            <w:t>France</w:t>
          </w:r>
        </w:smartTag>
      </w:smartTag>
    </w:p>
    <w:p w:rsidR="00CD5AAB" w:rsidRPr="00916140" w:rsidRDefault="00CD5AAB" w:rsidP="00916140"/>
    <w:p w:rsidR="00CD5AAB" w:rsidRPr="00916140" w:rsidRDefault="00CD5AAB" w:rsidP="00916140">
      <w:r w:rsidRPr="00916140">
        <w:t>"In this paper we take advantage of nationally decided retailer merger that impacted local markets differentially depending on the pre existing set of retail competition to estimate the effect of a merger of two competing retailers on the prices of its competitors. We find that prices of competing firms in areas where the merger occurred (treated group) increased significantly relative to the control areas where existing firms were not affected by a merger. In fact, our findings suggest that the merger significantly raised the competitors' prices. These results are consistent with a combination of possible coordinated effects and a decrease in differentiation (as competing prices increased). We are not only able to estimate the average price response of retailers when faced with the merger relative to a counterfactual of retailers not facing a merger, but we are also able to investigate possible economic forces behind the price responses we see. We break up the global raise in outsider's price effect into a local concentration effect, a pure rebranding effect and a differentiation effect. The local concentration effect appears whenever a treated outsider faces a variation of concentration (HHI) in its market. Our main result is that indeed, a change in local concentration explains a large part of the treated outsider's price raise. Second, we were able to identify a differentiation effect which appears as a result of rebranding and imply a drop in the total number of retail brands in a treated market. In that case, outsiders are facing a decrease in retail differentiation and we show again that this effect explains part of the outsider's price rise in the treated. Finally we have isolated a pure rebranding effect, which appears in markets where one of the merging firm rebrands after the merger, but where no store of the other merging group operates (to avoid any local concentration effect), and where no store of this new brand was operating before the merger (to avoid a resulting drop in the notal number of chain brands). In contrast, this pure rebranding effect does not explain significantly the treated outsider's price increase."</w:t>
      </w:r>
    </w:p>
    <w:p w:rsidR="00CD5AAB" w:rsidRPr="00E77E97" w:rsidRDefault="00CD5AAB" w:rsidP="00E77E97">
      <w:pPr>
        <w:rPr>
          <w:lang w:val="en-GB"/>
        </w:rPr>
      </w:pPr>
    </w:p>
    <w:p w:rsidR="00CD5AAB" w:rsidRPr="00E77E97" w:rsidRDefault="00CD5AAB" w:rsidP="00E77E97">
      <w:pPr>
        <w:rPr>
          <w:b/>
        </w:rPr>
      </w:pPr>
      <w:r w:rsidRPr="00E77E97">
        <w:rPr>
          <w:b/>
        </w:rPr>
        <w:t>Biscourp, Boutin and Verge (2013) - The Effects of Retail Regulations on Prices: Evidence from the Loi Galland</w:t>
      </w:r>
    </w:p>
    <w:p w:rsidR="00CD5AAB" w:rsidRPr="00E77E97" w:rsidRDefault="00CD5AAB" w:rsidP="00E77E97"/>
    <w:p w:rsidR="00CD5AAB" w:rsidRPr="00E77E97" w:rsidRDefault="00CD5AAB" w:rsidP="00E77E97">
      <w:r>
        <w:t>"</w:t>
      </w:r>
      <w:r w:rsidRPr="00E77E97">
        <w:t xml:space="preserve">Using a unique data set on retail prices for a large number of products, collected in a large and representative sample of grocery stores, this article provides an empirical evaluation of the effects of the 1996 below-cost pricing regulation (Loi Galland). We find evidence supporting the claim that the Loi Galland effectively led a substantial reduction in (if not the elimination of) intra-brand competition and is likely to have been partially responsible for the sharp increase of grocery retail prices observed after 1997. We provide three different empirical tests. Firstly, we look at the correlation between retail prices and the level of concentration on the various local markets. We find that retail prices were initially significantly lower in less concentrated markets. Before the implementation of the Loi Galland, the magnitude of the correlation is also consistent with previous analysis conducted on the same sector in other European countries, prices in more concentrated areas (in the upper quartile) being about 1.4% higher than in less concentrated areas (lower quartile). The new legislation led to a sharp drop in this correlation – price in more concentrated areas being only 0.6% higher – confirming that retail chains were no longer competing fiercely. This attenuation in the link between retail prices and local competition is also larger for branded products than for store brands, as predicted by the theoretical analysis of the legislation. Secondly, we find a significant reduction in the price dispersion of branded products relative to store brands, consistent with the fact that only branded products were directly affected by the Loi Galland, store brands being only indirectly affected through strategic complementarity between prices. Finally, we find evidence that some price convergence has been taking place across stores after the Loi Galland. Although this kind of evidence is always difficult to establish, our results are robust to various specifications. </w:t>
      </w:r>
    </w:p>
    <w:p w:rsidR="00CD5AAB" w:rsidRDefault="00CD5AAB" w:rsidP="00E77E97">
      <w:r w:rsidRPr="00E77E97">
        <w:t>Overall, our results appear to be qualitatively extremely robust to various approaches and specifications. We argued that the outcomes tested empirically could not have been generated by cost shocks, demand shocks, or by the change in planning regulations. Therefore, our empirical tests support the idea that the Loi Galland has allowed some manufacturers to impose de facto industry-wide price floors.</w:t>
      </w:r>
      <w:r>
        <w:t>"</w:t>
      </w:r>
    </w:p>
    <w:p w:rsidR="00CD5AAB" w:rsidRDefault="00CD5AAB" w:rsidP="00E77E97"/>
    <w:p w:rsidR="00CD5AAB" w:rsidRPr="00D41049" w:rsidRDefault="00CD5AAB" w:rsidP="00E77E97">
      <w:pPr>
        <w:rPr>
          <w:b/>
        </w:rPr>
      </w:pPr>
      <w:r w:rsidRPr="00D41049">
        <w:rPr>
          <w:b/>
        </w:rPr>
        <w:t>Lach (2002) Existence and persistence price dispersion: an empirical analysis</w:t>
      </w:r>
    </w:p>
    <w:p w:rsidR="00CD5AAB" w:rsidRDefault="00CD5AAB" w:rsidP="00E77E97"/>
    <w:p w:rsidR="00CD5AAB" w:rsidRDefault="00CD5AAB" w:rsidP="00916140">
      <w:r w:rsidRPr="00916140">
        <w:t>This paper measured and analyzed the price dispersion of four homogeneous goods across stores in Israel over a period of 48 months (1993-1996). The main finding is that price dispersion prevails after controlling for observed and unobserved product heterogeneity. The cross-sectional price distribution is quite stable over time, but this stability masks an intensive process of stores' repositioning within the cross-sectional distribution; there is substantial intra-distribution mobility. This finding is consistent with Varian's (1980) argument about the need for "sales" (randomized prices) when consumers search rationally for the lowest price. Is the existence of price di</w:t>
      </w:r>
      <w:r>
        <w:t>spersion a reflection of strate</w:t>
      </w:r>
      <w:r w:rsidRPr="00916140">
        <w:t>gic behavior</w:t>
      </w:r>
      <w:r>
        <w:t xml:space="preserve"> </w:t>
      </w:r>
      <w:r w:rsidRPr="00916140">
        <w:t>or is it driven by stores' heterogeneity?</w:t>
      </w:r>
      <w:r>
        <w:t xml:space="preserve"> </w:t>
      </w:r>
      <w:r w:rsidRPr="00916140">
        <w:t>As previously observed, price dispersion prevails even after controlling</w:t>
      </w:r>
      <w:r>
        <w:t xml:space="preserve"> </w:t>
      </w:r>
      <w:r w:rsidRPr="00916140">
        <w:t>for product</w:t>
      </w:r>
      <w:r>
        <w:t xml:space="preserve"> </w:t>
      </w:r>
      <w:r w:rsidRPr="00916140">
        <w:t>heterogeneity. Thus, heterogeneity cannot be the only reason for the observed dispersion. Of course, it may still be unobserved (and uncontrolled for) heterogeneity</w:t>
      </w:r>
      <w:r>
        <w:t xml:space="preserve"> </w:t>
      </w:r>
      <w:r w:rsidRPr="00916140">
        <w:t>that is driving</w:t>
      </w:r>
      <w:r>
        <w:t xml:space="preserve"> </w:t>
      </w:r>
      <w:r w:rsidRPr="00916140">
        <w:t>this result. But time-invariant heterogeneity</w:t>
      </w:r>
      <w:r>
        <w:t xml:space="preserve"> </w:t>
      </w:r>
      <w:r w:rsidRPr="00916140">
        <w:t>has been controlled</w:t>
      </w:r>
      <w:r>
        <w:t xml:space="preserve"> </w:t>
      </w:r>
      <w:r w:rsidRPr="00916140">
        <w:t>for, and, even if it were not, this type of heterogeneity</w:t>
      </w:r>
      <w:r>
        <w:t xml:space="preserve"> ca</w:t>
      </w:r>
      <w:r w:rsidRPr="00916140">
        <w:t>nnot</w:t>
      </w:r>
      <w:r>
        <w:t xml:space="preserve"> </w:t>
      </w:r>
      <w:r w:rsidRPr="00916140">
        <w:t>generate</w:t>
      </w:r>
      <w:r>
        <w:t xml:space="preserve"> </w:t>
      </w:r>
      <w:r w:rsidRPr="00916140">
        <w:t>the observed intra-distribution</w:t>
      </w:r>
      <w:r>
        <w:t xml:space="preserve"> </w:t>
      </w:r>
      <w:r w:rsidRPr="00916140">
        <w:t>dynamics.</w:t>
      </w:r>
      <w:r>
        <w:t xml:space="preserve"> </w:t>
      </w:r>
      <w:r w:rsidRPr="00916140">
        <w:t>In principle,</w:t>
      </w:r>
      <w:r>
        <w:t xml:space="preserve"> t</w:t>
      </w:r>
      <w:r w:rsidRPr="00916140">
        <w:t>ime-varying</w:t>
      </w:r>
      <w:r>
        <w:t xml:space="preserve"> </w:t>
      </w:r>
      <w:r w:rsidRPr="00916140">
        <w:t>heterogeneity can account for both cross-sectional price dispersion</w:t>
      </w:r>
      <w:r>
        <w:t xml:space="preserve"> </w:t>
      </w:r>
      <w:r w:rsidRPr="00916140">
        <w:t>an</w:t>
      </w:r>
      <w:r>
        <w:t>d intra distribution dynamics. F</w:t>
      </w:r>
      <w:r w:rsidRPr="00916140">
        <w:t>or</w:t>
      </w:r>
      <w:r>
        <w:t xml:space="preserve"> example, p</w:t>
      </w:r>
      <w:r w:rsidRPr="00916140">
        <w:t>rices may respond to the arrival of store-specific (idiosyncratic) shocks,</w:t>
      </w:r>
      <w:r>
        <w:t xml:space="preserve"> </w:t>
      </w:r>
      <w:r w:rsidRPr="00916140">
        <w:t>a component</w:t>
      </w:r>
      <w:r>
        <w:t xml:space="preserve"> </w:t>
      </w:r>
      <w:r w:rsidRPr="00916140">
        <w:t xml:space="preserve">of the </w:t>
      </w:r>
      <w:r>
        <w:t>epsilon it</w:t>
      </w:r>
      <w:r w:rsidRPr="00916140">
        <w:t>s in equation( 1). The problem with this interpretation</w:t>
      </w:r>
      <w:r>
        <w:t xml:space="preserve"> </w:t>
      </w:r>
      <w:r w:rsidRPr="00916140">
        <w:t>is that we would need a lot of idiosyncratic" large"</w:t>
      </w:r>
      <w:r>
        <w:t xml:space="preserve"> </w:t>
      </w:r>
      <w:r w:rsidRPr="00916140">
        <w:t>shocks</w:t>
      </w:r>
      <w:r>
        <w:t xml:space="preserve"> a</w:t>
      </w:r>
      <w:r w:rsidRPr="00916140">
        <w:t>rriving</w:t>
      </w:r>
      <w:r>
        <w:t xml:space="preserve"> </w:t>
      </w:r>
      <w:r w:rsidRPr="00916140">
        <w:t>every</w:t>
      </w:r>
      <w:r>
        <w:t xml:space="preserve"> m</w:t>
      </w:r>
      <w:r w:rsidRPr="00916140">
        <w:t>onth</w:t>
      </w:r>
      <w:r>
        <w:t xml:space="preserve"> </w:t>
      </w:r>
      <w:r w:rsidRPr="00916140">
        <w:t>to destroy the inter</w:t>
      </w:r>
      <w:r>
        <w:t>-</w:t>
      </w:r>
      <w:r w:rsidRPr="00916140">
        <w:t>temporal</w:t>
      </w:r>
      <w:r>
        <w:t xml:space="preserve"> </w:t>
      </w:r>
      <w:r w:rsidRPr="00916140">
        <w:t>r</w:t>
      </w:r>
      <w:r>
        <w:t>a</w:t>
      </w:r>
      <w:r w:rsidRPr="00916140">
        <w:t>nk</w:t>
      </w:r>
      <w:r>
        <w:t xml:space="preserve"> </w:t>
      </w:r>
      <w:r w:rsidRPr="00916140">
        <w:t>correlation. It is difficult</w:t>
      </w:r>
      <w:r>
        <w:t xml:space="preserve"> </w:t>
      </w:r>
      <w:r w:rsidRPr="00916140">
        <w:t xml:space="preserve">to believe that this is happening at the level of the </w:t>
      </w:r>
      <w:r>
        <w:t>individual store. Thus, again, h</w:t>
      </w:r>
      <w:r w:rsidRPr="00916140">
        <w:t>eterogeneity</w:t>
      </w:r>
      <w:r>
        <w:t xml:space="preserve"> </w:t>
      </w:r>
      <w:r w:rsidRPr="00916140">
        <w:t>alone cannot</w:t>
      </w:r>
      <w:r>
        <w:t xml:space="preserve"> </w:t>
      </w:r>
      <w:r w:rsidRPr="00916140">
        <w:t>be the whole story. Indeed,</w:t>
      </w:r>
      <w:r>
        <w:t xml:space="preserve"> a</w:t>
      </w:r>
      <w:r w:rsidRPr="00916140">
        <w:t>lthough</w:t>
      </w:r>
      <w:r>
        <w:t xml:space="preserve"> it i</w:t>
      </w:r>
      <w:r w:rsidRPr="00916140">
        <w:t>s tempting</w:t>
      </w:r>
      <w:r>
        <w:t xml:space="preserve"> </w:t>
      </w:r>
      <w:r w:rsidRPr="00916140">
        <w:t>to interpret</w:t>
      </w:r>
      <w:r>
        <w:t xml:space="preserve"> </w:t>
      </w:r>
      <w:r w:rsidRPr="00916140">
        <w:t>the evidence of intra-distribution mobility as reflecting</w:t>
      </w:r>
      <w:r>
        <w:t xml:space="preserve"> </w:t>
      </w:r>
      <w:r w:rsidRPr="00916140">
        <w:t>s</w:t>
      </w:r>
      <w:r>
        <w:t>ome form of stra</w:t>
      </w:r>
      <w:r w:rsidRPr="00916140">
        <w:t>tegic interaction,</w:t>
      </w:r>
      <w:r>
        <w:t xml:space="preserve"> </w:t>
      </w:r>
      <w:r w:rsidRPr="00916140">
        <w:t>this is not entirely warranted</w:t>
      </w:r>
      <w:r>
        <w:t xml:space="preserve"> b</w:t>
      </w:r>
      <w:r w:rsidRPr="00916140">
        <w:t>y the paper's results. To say someth</w:t>
      </w:r>
      <w:r>
        <w:t>ing about this, additional em</w:t>
      </w:r>
      <w:r w:rsidRPr="00916140">
        <w:t>pirical research is required.</w:t>
      </w:r>
    </w:p>
    <w:p w:rsidR="00CD5AAB" w:rsidRDefault="00CD5AAB" w:rsidP="00916140"/>
    <w:p w:rsidR="00CD5AAB" w:rsidRPr="00D41049" w:rsidRDefault="00CD5AAB" w:rsidP="00916140">
      <w:pPr>
        <w:rPr>
          <w:b/>
        </w:rPr>
      </w:pPr>
      <w:r w:rsidRPr="00D41049">
        <w:rPr>
          <w:b/>
        </w:rPr>
        <w:t>Bertrand and Kramarz (2002) - Does entry regulation hinder job creation</w:t>
      </w:r>
    </w:p>
    <w:p w:rsidR="00CD5AAB" w:rsidRPr="00916140" w:rsidRDefault="00CD5AAB" w:rsidP="00916140"/>
    <w:p w:rsidR="00CD5AAB" w:rsidRDefault="00CD5AAB" w:rsidP="00916140">
      <w:r w:rsidRPr="00916140">
        <w:t>Our findings suggest that the zoning regulation introduced in France in the early 1970s to restrain the development of large retail stores has had a negative impact on employment. The slow employment growth witnessed in the French retail sector over the last two or three decades may therefore not only be the result of</w:t>
      </w:r>
      <w:r>
        <w:t xml:space="preserve"> </w:t>
      </w:r>
      <w:r w:rsidRPr="00916140">
        <w:t xml:space="preserve">labor market rigidities. Instead, barriers to entry and high levels of concentration among large retail chains may also have played a significant role. Although the results in this paper are specific to the retail trade sector in France, we believe that the lesson we learned is of much more general interest. Specifically, countries fighting sluggish rates of job creation may be misguided in thinking that their employment problem will be fully solved once they reform their labor markets. Instead, elimination of entry regulation and other forms of product market restrictions may provide an additional mechanism to bolster employment growth. </w:t>
      </w:r>
    </w:p>
    <w:p w:rsidR="00CD5AAB" w:rsidRPr="00916140" w:rsidRDefault="00CD5AAB" w:rsidP="00916140">
      <w:r w:rsidRPr="00916140">
        <w:t>This lesson is, we believe, especially relevant when one considers the political economy of reforms. Labor market deregulation has proved to be extremely difficult to implement in continental Europe. Labor market reforms are perceived as a direct threat by most incumbent workers and rarely receive the support of a majority of voters. Product market reforms, on the other hand, may not carry such strong negative connotation in the public opinion and may therefore be easier to introduce.</w:t>
      </w:r>
    </w:p>
    <w:p w:rsidR="00CD5AAB" w:rsidRPr="00916140" w:rsidRDefault="00CD5AAB" w:rsidP="00916140">
      <w:r w:rsidRPr="00916140">
        <w:t>We hope to extend this paper in several directions in the future. First, a careful and systematic study of profitability margins in the retail industry in the United States and European countries would complement the evidence we have put together so far. Second, while we have focused on the retail industry, product market restrictions have been placed in other industrial sectors and deserve as much scrutiny. Finally, while we have shown that product market regulation affects job creation, it is not the only relevant form of non</w:t>
      </w:r>
      <w:r>
        <w:t xml:space="preserve"> </w:t>
      </w:r>
      <w:r w:rsidRPr="00916140">
        <w:t>labor market distortions. For example, financial markets also operate under many more constraints</w:t>
      </w:r>
      <w:r>
        <w:t xml:space="preserve"> </w:t>
      </w:r>
      <w:r w:rsidRPr="00916140">
        <w:t>in Europe than in the United States. Studying whether such capital market regulations have also hindered firm creation and employment growth is another priority for future research.</w:t>
      </w:r>
    </w:p>
    <w:p w:rsidR="00CD5AAB" w:rsidRPr="00916140" w:rsidRDefault="00CD5AAB" w:rsidP="00916140"/>
    <w:sectPr w:rsidR="00CD5AAB" w:rsidRPr="00916140" w:rsidSect="00FB020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de">
    <w:altName w:val="Code"/>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HCKPJ+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2D043E4"/>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1DBC2F66"/>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E0F0F6D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D652B828"/>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5A7CBB5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056711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996580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9C84E6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0E2073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E7E61674"/>
    <w:lvl w:ilvl="0">
      <w:start w:val="1"/>
      <w:numFmt w:val="bullet"/>
      <w:lvlText w:val=""/>
      <w:lvlJc w:val="left"/>
      <w:pPr>
        <w:tabs>
          <w:tab w:val="num" w:pos="360"/>
        </w:tabs>
        <w:ind w:left="360" w:hanging="360"/>
      </w:pPr>
      <w:rPr>
        <w:rFonts w:ascii="Symbol" w:hAnsi="Symbol" w:hint="default"/>
      </w:rPr>
    </w:lvl>
  </w:abstractNum>
  <w:abstractNum w:abstractNumId="10">
    <w:nsid w:val="1BE67925"/>
    <w:multiLevelType w:val="hybridMultilevel"/>
    <w:tmpl w:val="65C6D37C"/>
    <w:lvl w:ilvl="0" w:tplc="FE8CE106">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33654AD"/>
    <w:multiLevelType w:val="hybridMultilevel"/>
    <w:tmpl w:val="6A4421DA"/>
    <w:lvl w:ilvl="0" w:tplc="60EEE5BE">
      <w:numFmt w:val="bullet"/>
      <w:lvlText w:val=""/>
      <w:lvlJc w:val="left"/>
      <w:pPr>
        <w:ind w:left="720" w:hanging="360"/>
      </w:pPr>
      <w:rPr>
        <w:rFonts w:ascii="Symbol" w:eastAsia="Times New Roman"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FDC1C7C"/>
    <w:multiLevelType w:val="hybridMultilevel"/>
    <w:tmpl w:val="70A28020"/>
    <w:lvl w:ilvl="0" w:tplc="B5DAE568">
      <w:numFmt w:val="bullet"/>
      <w:lvlText w:val=""/>
      <w:lvlJc w:val="left"/>
      <w:pPr>
        <w:ind w:left="720" w:hanging="360"/>
      </w:pPr>
      <w:rPr>
        <w:rFonts w:ascii="Symbol" w:eastAsia="Times New Roman"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51B5316"/>
    <w:multiLevelType w:val="hybridMultilevel"/>
    <w:tmpl w:val="9BF6C9E8"/>
    <w:lvl w:ilvl="0" w:tplc="B874EF30">
      <w:numFmt w:val="bullet"/>
      <w:lvlText w:val=""/>
      <w:lvlJc w:val="left"/>
      <w:pPr>
        <w:ind w:left="720" w:hanging="360"/>
      </w:pPr>
      <w:rPr>
        <w:rFonts w:ascii="Symbol" w:eastAsia="Times New Roman"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60571F4"/>
    <w:multiLevelType w:val="hybridMultilevel"/>
    <w:tmpl w:val="B42EFC84"/>
    <w:lvl w:ilvl="0" w:tplc="5512181E">
      <w:numFmt w:val="bullet"/>
      <w:lvlText w:val=""/>
      <w:lvlJc w:val="left"/>
      <w:pPr>
        <w:ind w:left="720" w:hanging="360"/>
      </w:pPr>
      <w:rPr>
        <w:rFonts w:ascii="Symbol" w:eastAsia="Times New Roman"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4"/>
  </w:num>
  <w:num w:numId="13">
    <w:abstractNumId w:val="12"/>
  </w:num>
  <w:num w:numId="14">
    <w:abstractNumId w:val="11"/>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54F95"/>
    <w:rsid w:val="00010675"/>
    <w:rsid w:val="00020C51"/>
    <w:rsid w:val="00052F90"/>
    <w:rsid w:val="000A0DFC"/>
    <w:rsid w:val="000A4553"/>
    <w:rsid w:val="000A47B1"/>
    <w:rsid w:val="000D6511"/>
    <w:rsid w:val="00107A67"/>
    <w:rsid w:val="001570A4"/>
    <w:rsid w:val="00274028"/>
    <w:rsid w:val="0028731E"/>
    <w:rsid w:val="002C2970"/>
    <w:rsid w:val="00312BB8"/>
    <w:rsid w:val="003564E8"/>
    <w:rsid w:val="00370EAF"/>
    <w:rsid w:val="00381971"/>
    <w:rsid w:val="0039332C"/>
    <w:rsid w:val="00402FA8"/>
    <w:rsid w:val="00454F95"/>
    <w:rsid w:val="00472EC6"/>
    <w:rsid w:val="00474171"/>
    <w:rsid w:val="004B73A5"/>
    <w:rsid w:val="00515049"/>
    <w:rsid w:val="0051787E"/>
    <w:rsid w:val="0053236C"/>
    <w:rsid w:val="005B1711"/>
    <w:rsid w:val="005C1462"/>
    <w:rsid w:val="005D245C"/>
    <w:rsid w:val="005D77B8"/>
    <w:rsid w:val="00625B05"/>
    <w:rsid w:val="00644166"/>
    <w:rsid w:val="00692CF6"/>
    <w:rsid w:val="00695E1D"/>
    <w:rsid w:val="0076695C"/>
    <w:rsid w:val="00792F79"/>
    <w:rsid w:val="007A1A0B"/>
    <w:rsid w:val="00824F9F"/>
    <w:rsid w:val="00842B5C"/>
    <w:rsid w:val="00845CFA"/>
    <w:rsid w:val="008C55C6"/>
    <w:rsid w:val="008D3733"/>
    <w:rsid w:val="00916140"/>
    <w:rsid w:val="00923F97"/>
    <w:rsid w:val="009734A9"/>
    <w:rsid w:val="009A2536"/>
    <w:rsid w:val="009E0EDB"/>
    <w:rsid w:val="00A10006"/>
    <w:rsid w:val="00A11C05"/>
    <w:rsid w:val="00A372F8"/>
    <w:rsid w:val="00A430DA"/>
    <w:rsid w:val="00A47E1D"/>
    <w:rsid w:val="00A70C6E"/>
    <w:rsid w:val="00A7169C"/>
    <w:rsid w:val="00A77D14"/>
    <w:rsid w:val="00A94A3D"/>
    <w:rsid w:val="00B933B2"/>
    <w:rsid w:val="00BB6EF7"/>
    <w:rsid w:val="00BC4030"/>
    <w:rsid w:val="00BF7430"/>
    <w:rsid w:val="00C16148"/>
    <w:rsid w:val="00C46253"/>
    <w:rsid w:val="00C60A5B"/>
    <w:rsid w:val="00CD5AAB"/>
    <w:rsid w:val="00CF2EED"/>
    <w:rsid w:val="00D41049"/>
    <w:rsid w:val="00D60582"/>
    <w:rsid w:val="00D77B08"/>
    <w:rsid w:val="00D966C3"/>
    <w:rsid w:val="00DB0024"/>
    <w:rsid w:val="00DB6E08"/>
    <w:rsid w:val="00DF522F"/>
    <w:rsid w:val="00E46047"/>
    <w:rsid w:val="00E6090D"/>
    <w:rsid w:val="00E613B2"/>
    <w:rsid w:val="00E77E97"/>
    <w:rsid w:val="00EC405E"/>
    <w:rsid w:val="00F759E6"/>
    <w:rsid w:val="00F9712F"/>
    <w:rsid w:val="00FB020A"/>
    <w:rsid w:val="00FB72D6"/>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City"/>
  <w:smartTagType w:namespaceuri="urn:schemas-microsoft-com:office:smarttags" w:name="country-region"/>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4E8"/>
    <w:pPr>
      <w:jc w:val="both"/>
    </w:pPr>
    <w:rPr>
      <w:lang w:val="en-US" w:eastAsia="en-US"/>
    </w:rPr>
  </w:style>
  <w:style w:type="paragraph" w:styleId="Heading2">
    <w:name w:val="heading 2"/>
    <w:basedOn w:val="Normal"/>
    <w:next w:val="Normal"/>
    <w:link w:val="Heading2Char"/>
    <w:uiPriority w:val="99"/>
    <w:qFormat/>
    <w:rsid w:val="00370EAF"/>
    <w:pPr>
      <w:keepNext/>
      <w:keepLines/>
      <w:spacing w:before="40"/>
      <w:outlineLvl w:val="1"/>
    </w:pPr>
    <w:rPr>
      <w:rFonts w:ascii="Calibri Light" w:eastAsia="Times New Roman" w:hAnsi="Calibri Light"/>
      <w:color w:val="2E74B5"/>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70EAF"/>
    <w:rPr>
      <w:rFonts w:ascii="Calibri Light" w:hAnsi="Calibri Light" w:cs="Times New Roman"/>
      <w:color w:val="2E74B5"/>
      <w:sz w:val="26"/>
      <w:szCs w:val="26"/>
    </w:rPr>
  </w:style>
  <w:style w:type="paragraph" w:styleId="NoSpacing">
    <w:name w:val="No Spacing"/>
    <w:uiPriority w:val="99"/>
    <w:qFormat/>
    <w:rsid w:val="00370EAF"/>
    <w:rPr>
      <w:lang w:eastAsia="en-US"/>
    </w:rPr>
  </w:style>
  <w:style w:type="paragraph" w:styleId="Subtitle">
    <w:name w:val="Subtitle"/>
    <w:basedOn w:val="Normal"/>
    <w:next w:val="Normal"/>
    <w:link w:val="SubtitleChar"/>
    <w:uiPriority w:val="99"/>
    <w:qFormat/>
    <w:rsid w:val="00370EAF"/>
    <w:pPr>
      <w:numPr>
        <w:ilvl w:val="1"/>
      </w:numPr>
    </w:pPr>
    <w:rPr>
      <w:rFonts w:eastAsia="Times New Roman"/>
      <w:color w:val="5A5A5A"/>
      <w:spacing w:val="15"/>
    </w:rPr>
  </w:style>
  <w:style w:type="character" w:customStyle="1" w:styleId="SubtitleChar">
    <w:name w:val="Subtitle Char"/>
    <w:basedOn w:val="DefaultParagraphFont"/>
    <w:link w:val="Subtitle"/>
    <w:uiPriority w:val="99"/>
    <w:locked/>
    <w:rsid w:val="00370EAF"/>
    <w:rPr>
      <w:rFonts w:eastAsia="Times New Roman" w:cs="Times New Roman"/>
      <w:color w:val="5A5A5A"/>
      <w:spacing w:val="15"/>
    </w:rPr>
  </w:style>
  <w:style w:type="paragraph" w:customStyle="1" w:styleId="Default">
    <w:name w:val="Default"/>
    <w:uiPriority w:val="99"/>
    <w:rsid w:val="00A10006"/>
    <w:pPr>
      <w:autoSpaceDE w:val="0"/>
      <w:autoSpaceDN w:val="0"/>
      <w:adjustRightInd w:val="0"/>
    </w:pPr>
    <w:rPr>
      <w:rFonts w:ascii="Code" w:hAnsi="Code" w:cs="Code"/>
      <w:color w:val="000000"/>
      <w:sz w:val="24"/>
      <w:szCs w:val="24"/>
      <w:lang w:eastAsia="en-US"/>
    </w:rPr>
  </w:style>
  <w:style w:type="paragraph" w:styleId="BalloonText">
    <w:name w:val="Balloon Text"/>
    <w:basedOn w:val="Normal"/>
    <w:link w:val="BalloonTextChar"/>
    <w:uiPriority w:val="99"/>
    <w:semiHidden/>
    <w:rsid w:val="00FB020A"/>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FB020A"/>
    <w:rPr>
      <w:rFonts w:ascii="Segoe UI" w:hAnsi="Segoe UI" w:cs="Segoe UI"/>
      <w:sz w:val="18"/>
      <w:szCs w:val="18"/>
      <w:lang w:val="en-US" w:eastAsia="en-US"/>
    </w:rPr>
  </w:style>
  <w:style w:type="paragraph" w:styleId="BodyText">
    <w:name w:val="Body Text"/>
    <w:basedOn w:val="Default"/>
    <w:next w:val="Default"/>
    <w:link w:val="BodyTextChar"/>
    <w:uiPriority w:val="99"/>
    <w:rsid w:val="00DB6E08"/>
    <w:rPr>
      <w:rFonts w:ascii="DHCKPJ+TimesNewRoman" w:hAnsi="DHCKPJ+TimesNewRoman" w:cs="Times New Roman"/>
      <w:color w:val="auto"/>
      <w:lang w:eastAsia="fr-FR"/>
    </w:rPr>
  </w:style>
  <w:style w:type="character" w:customStyle="1" w:styleId="BodyTextChar">
    <w:name w:val="Body Text Char"/>
    <w:basedOn w:val="DefaultParagraphFont"/>
    <w:link w:val="BodyText"/>
    <w:uiPriority w:val="99"/>
    <w:semiHidden/>
    <w:locked/>
    <w:rsid w:val="000A47B1"/>
    <w:rPr>
      <w:rFonts w:cs="Times New Roman"/>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2004</TotalTime>
  <Pages>4</Pages>
  <Words>2660</Words>
  <Characters>14636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CHAMAYOU Étienne</dc:creator>
  <cp:keywords/>
  <dc:description/>
  <cp:lastModifiedBy>Etudiant</cp:lastModifiedBy>
  <cp:revision>17</cp:revision>
  <cp:lastPrinted>2016-07-18T13:43:00Z</cp:lastPrinted>
  <dcterms:created xsi:type="dcterms:W3CDTF">2016-07-08T13:26:00Z</dcterms:created>
  <dcterms:modified xsi:type="dcterms:W3CDTF">2016-07-28T22:56:00Z</dcterms:modified>
</cp:coreProperties>
</file>