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color w:val="287E78"/>
          <w:sz w:val="30"/>
        </w:rPr>
        <w:t>ETIS</w:t>
      </w:r>
    </w:p>
    <w:p>
      <w:pPr>
        <w:pStyle w:val="Title"/>
      </w:pPr>
      <w:r>
        <w:rPr>
          <w:color w:val="000000"/>
          <w:u w:val="none"/>
        </w:rPr>
        <w:t>Master Manual &amp; Documentation Index</w:t>
      </w:r>
    </w:p>
    <w:p>
      <w:pPr>
        <w:pStyle w:val="Subtitle"/>
      </w:pPr>
      <w:r>
        <w:t>Executive overview of the Engineering Studio, its place in ETIS, student and instructor use, installation, administration, production operations, CLI tooling, and recovery</w:t>
      </w:r>
    </w:p>
    <w:p>
      <w:r>
        <w:t>v0.18.0 manual edition. Software release candidate; publication follows deployment acceptance.</w:t>
      </w:r>
    </w:p>
    <w:tbl>
      <w:tblPr>
        <w:tblW w:type="auto" w:w="0"/>
        <w:jc w:val="left"/>
        <w:tblLook w:firstColumn="1" w:firstRow="1" w:lastColumn="0" w:lastRow="0" w:noHBand="0" w:noVBand="1" w:val="04A0"/>
      </w:tblPr>
      <w:tblGrid>
        <w:gridCol w:w="5083"/>
        <w:gridCol w:w="5083"/>
      </w:tblGrid>
      <w:tr>
        <w:trPr>
          <w:tblHeader/>
          <w:cantSplit/>
        </w:trPr>
        <w:tc>
          <w:tcPr>
            <w:tcW w:type="dxa" w:w="5083"/>
            <w:shd w:fill="EAF1F8"/>
            <w:tcMar>
              <w:top w:w="90" w:type="dxa"/>
              <w:start w:w="100" w:type="dxa"/>
              <w:bottom w:w="90" w:type="dxa"/>
              <w:end w:w="100" w:type="dxa"/>
            </w:tcMar>
          </w:tcPr>
          <w:p>
            <w:pPr>
              <w:keepNext w:val="0"/>
            </w:pPr>
            <w:r>
              <w:rPr>
                <w:b/>
              </w:rPr>
              <w:t>Audience</w:t>
            </w:r>
          </w:p>
        </w:tc>
        <w:tc>
          <w:tcPr>
            <w:tcW w:type="dxa" w:w="5083"/>
            <w:tcMar>
              <w:top w:w="90" w:type="dxa"/>
              <w:start w:w="100" w:type="dxa"/>
              <w:bottom w:w="90" w:type="dxa"/>
              <w:end w:w="100" w:type="dxa"/>
            </w:tcMar>
          </w:tcPr>
          <w:p>
            <w:pPr>
              <w:keepNext w:val="0"/>
            </w:pPr>
            <w:r>
              <w:t>Students, teaching staff, technical administrators, production operators, institutional adopters, and maintainers</w:t>
            </w:r>
          </w:p>
        </w:tc>
      </w:tr>
      <w:tr>
        <w:trPr>
          <w:cantSplit/>
        </w:trPr>
        <w:tc>
          <w:tcPr>
            <w:tcW w:type="dxa" w:w="5083"/>
            <w:shd w:fill="EAF1F8"/>
            <w:tcMar>
              <w:top w:w="90" w:type="dxa"/>
              <w:start w:w="100" w:type="dxa"/>
              <w:bottom w:w="90" w:type="dxa"/>
              <w:end w:w="100" w:type="dxa"/>
            </w:tcMar>
          </w:tcPr>
          <w:p>
            <w:pPr>
              <w:keepNext w:val="0"/>
            </w:pPr>
            <w:r>
              <w:rPr>
                <w:b/>
              </w:rPr>
              <w:t>Purpose</w:t>
            </w:r>
          </w:p>
        </w:tc>
        <w:tc>
          <w:tcPr>
            <w:tcW w:type="dxa" w:w="5083"/>
            <w:tcMar>
              <w:top w:w="90" w:type="dxa"/>
              <w:start w:w="100" w:type="dxa"/>
              <w:bottom w:w="90" w:type="dxa"/>
              <w:end w:w="100" w:type="dxa"/>
            </w:tcMar>
          </w:tcPr>
          <w:p>
            <w:pPr>
              <w:keepNext w:val="0"/>
            </w:pPr>
            <w:r>
              <w:t>Provide the front door to the complete ETIS Engineering Studio documentation library and explain how the product, people, evidence, and operating model fit together.</w:t>
            </w:r>
          </w:p>
        </w:tc>
      </w:tr>
      <w:tr>
        <w:trPr>
          <w:cantSplit/>
        </w:trPr>
        <w:tc>
          <w:tcPr>
            <w:tcW w:type="dxa" w:w="5083"/>
            <w:shd w:fill="EAF1F8"/>
            <w:tcMar>
              <w:top w:w="90" w:type="dxa"/>
              <w:start w:w="100" w:type="dxa"/>
              <w:bottom w:w="90" w:type="dxa"/>
              <w:end w:w="100" w:type="dxa"/>
            </w:tcMar>
          </w:tcPr>
          <w:p>
            <w:pPr>
              <w:keepNext w:val="0"/>
            </w:pPr>
            <w:r>
              <w:rPr>
                <w:b/>
              </w:rPr>
              <w:t>Reference implementation</w:t>
            </w:r>
          </w:p>
        </w:tc>
        <w:tc>
          <w:tcPr>
            <w:tcW w:type="dxa" w:w="5083"/>
            <w:tcMar>
              <w:top w:w="90" w:type="dxa"/>
              <w:start w:w="100" w:type="dxa"/>
              <w:bottom w:w="90" w:type="dxa"/>
              <w:end w:w="100" w:type="dxa"/>
            </w:tcMar>
          </w:tcPr>
          <w:p>
            <w:pPr>
              <w:keepNext w:val="0"/>
            </w:pPr>
            <w:r>
              <w:t>COMP 330/474 Software Engineering • Fall 2026</w:t>
            </w:r>
          </w:p>
        </w:tc>
      </w:tr>
      <w:tr>
        <w:trPr>
          <w:cantSplit/>
        </w:trPr>
        <w:tc>
          <w:tcPr>
            <w:tcW w:type="dxa" w:w="5083"/>
            <w:shd w:fill="EAF1F8"/>
            <w:tcMar>
              <w:top w:w="90" w:type="dxa"/>
              <w:start w:w="100" w:type="dxa"/>
              <w:bottom w:w="90" w:type="dxa"/>
              <w:end w:w="100" w:type="dxa"/>
            </w:tcMar>
          </w:tcPr>
          <w:p>
            <w:pPr>
              <w:keepNext w:val="0"/>
            </w:pPr>
            <w:r>
              <w:rPr>
                <w:b/>
              </w:rPr>
              <w:t>Version</w:t>
            </w:r>
          </w:p>
        </w:tc>
        <w:tc>
          <w:tcPr>
            <w:tcW w:type="dxa" w:w="5083"/>
            <w:tcMar>
              <w:top w:w="90" w:type="dxa"/>
              <w:start w:w="100" w:type="dxa"/>
              <w:bottom w:w="90" w:type="dxa"/>
              <w:end w:w="100" w:type="dxa"/>
            </w:tcMar>
          </w:tcPr>
          <w:p>
            <w:pPr>
              <w:keepNext w:val="0"/>
            </w:pPr>
            <w:r>
              <w:t>v0.18.0 • October 2, 2026</w:t>
            </w:r>
          </w:p>
        </w:tc>
      </w:tr>
    </w:tbl>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CORE IDEA</w:t>
              <w:br/>
            </w:r>
            <w:r>
              <w:rPr>
                <w:sz w:val="20"/>
              </w:rPr>
              <w:t>ETIS Engineering Studio is an engineering apprenticeship environment. It makes evidence and engineering reasoning visible, gives students bounded senior-review-style challenge and coaching, and preserves the central rule that the student remains the responsible engineer. It is developmental; formal phase-gate authority remains with the instructor and the tagged repository evidence.</w:t>
            </w:r>
          </w:p>
        </w:tc>
      </w:tr>
    </w:tbl>
    <w:p>
      <w:pPr>
        <w:spacing w:after="20"/>
      </w:pPr>
    </w:p>
    <w:p>
      <w:r>
        <w:br w:type="page"/>
      </w:r>
    </w:p>
    <w:p>
      <w:pPr>
        <w:pStyle w:val="Heading1"/>
      </w:pPr>
      <w:r>
        <w:t>Contents</w:t>
      </w:r>
    </w:p>
    <w:p>
      <w:r>
        <w:t>Executive Overview</w:t>
      </w:r>
    </w:p>
    <w:p>
      <w:r>
        <w:t>1. Why ETIS Engineering Studio exists</w:t>
      </w:r>
    </w:p>
    <w:p>
      <w:r>
        <w:t>2. Where Studio fits in ETIS</w:t>
      </w:r>
    </w:p>
    <w:p>
      <w:r>
        <w:t>3. The Engineering Education Suite</w:t>
      </w:r>
    </w:p>
    <w:p>
      <w:r>
        <w:t>4. Studio from the student perspective</w:t>
      </w:r>
    </w:p>
    <w:p>
      <w:r>
        <w:t>5. Studio from the instructor and course-owner perspective</w:t>
      </w:r>
    </w:p>
    <w:p>
      <w:r>
        <w:t>6. Semester administration and course operations</w:t>
      </w:r>
    </w:p>
    <w:p>
      <w:r>
        <w:t>7. Installation, architecture, and technical administration</w:t>
      </w:r>
    </w:p>
    <w:p>
      <w:r>
        <w:t>8. Production operations and the Azure Operations CLI</w:t>
      </w:r>
    </w:p>
    <w:p>
      <w:r>
        <w:t>9. Backup, recovery, and disaster recovery</w:t>
      </w:r>
    </w:p>
    <w:p>
      <w:r>
        <w:t>10. Security, privacy, authority, and evidence boundaries</w:t>
      </w:r>
    </w:p>
    <w:p>
      <w:r>
        <w:t>11. Documentation library index</w:t>
      </w:r>
    </w:p>
    <w:p>
      <w:r>
        <w:t>12. Scenario-based document finder</w:t>
      </w:r>
    </w:p>
    <w:p>
      <w:r>
        <w:t>13. Institutional adoption and governance</w:t>
      </w:r>
    </w:p>
    <w:p>
      <w:r>
        <w:t>14. Documentation lifecycle and publishing conventions</w:t>
      </w:r>
    </w:p>
    <w:p>
      <w:r>
        <w:t>Appendix A - Terminology</w:t>
      </w:r>
    </w:p>
    <w:p>
      <w:r>
        <w:t>Appendix B - Role and responsibility matrix</w:t>
      </w:r>
    </w:p>
    <w:p>
      <w:r>
        <w:t>Appendix C - First-adoption checklist</w:t>
      </w: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1F4E79"/>
                <w:sz w:val="18"/>
              </w:rPr>
              <w:t>HOW TO USE THIS MANUAL</w:t>
              <w:br/>
            </w:r>
            <w:r>
              <w:rPr>
                <w:sz w:val="20"/>
              </w:rPr>
              <w:t>Read the Executive Overview and Sections 1–3 for context. Then jump to the role or scenario you actually have. This manual explains the system and points to the detailed companion document that contains the procedure, screenshots, troubleshooting, and appendices.</w:t>
            </w:r>
          </w:p>
        </w:tc>
      </w:tr>
    </w:tbl>
    <w:p>
      <w:pPr>
        <w:spacing w:after="20"/>
      </w:pPr>
    </w:p>
    <w:p>
      <w:r>
        <w:br w:type="page"/>
      </w:r>
    </w:p>
    <w:p>
      <w:pPr>
        <w:pStyle w:val="Heading1"/>
      </w:pPr>
      <w:r>
        <w:t>Executive Overview</w:t>
      </w:r>
    </w:p>
    <w:p>
      <w:r>
        <w:t>ETIS Engineering Studio is the developmental-review component of the ETIS Engineering Education Suite. It connects real project evidence in GitHub with structured, phase-aware engineering review conversations. The purpose is not to automate engineering judgment. The purpose is to help students practice it: recognizing evidence, surfacing uncertainty, defending tradeoffs, responding to findings, and making decisions that they can own.</w:t>
      </w:r>
    </w:p>
    <w:p>
      <w:r>
        <w:t>The broader ETIS environment deliberately separates several responsibilities that are easy to blur in AI-assisted education. The Framework defines the discipline. The Engineering Platform provides practical stages, templates, examples, and guidance. ETIS Preflight checks readiness near a formal gate. Engineering Studio supports repeated developmental review. The Engineering Review Center supports the instructor’s formal phase-gate review of tagged repository evidence. The project repository remains the durable evidence record.</w:t>
      </w:r>
    </w:p>
    <w:p>
      <w:pPr>
        <w:keepNext/>
        <w:jc w:val="center"/>
      </w:pPr>
      <w:r>
        <w:drawing>
          <wp:inline xmlns:a="http://schemas.openxmlformats.org/drawingml/2006/main" xmlns:pic="http://schemas.openxmlformats.org/drawingml/2006/picture">
            <wp:extent cx="6080760" cy="3178171"/>
            <wp:docPr id="1" name="Picture 1" descr="Figure 1. ETIS ecosystem and the role of Engineering Studio. Studio is connected to the Framework and Platform, but it has a distinct developmental-review purpose." title="Figure 1"/>
            <wp:cNvGraphicFramePr>
              <a:graphicFrameLocks noChangeAspect="1"/>
            </wp:cNvGraphicFramePr>
            <a:graphic>
              <a:graphicData uri="http://schemas.openxmlformats.org/drawingml/2006/picture">
                <pic:pic>
                  <pic:nvPicPr>
                    <pic:cNvPr id="0" name="fig01_etis_ecosystem.png"/>
                    <pic:cNvPicPr/>
                  </pic:nvPicPr>
                  <pic:blipFill>
                    <a:blip r:embed="rId11"/>
                    <a:stretch>
                      <a:fillRect/>
                    </a:stretch>
                  </pic:blipFill>
                  <pic:spPr>
                    <a:xfrm>
                      <a:off x="0" y="0"/>
                      <a:ext cx="6080760" cy="3178171"/>
                    </a:xfrm>
                    <a:prstGeom prst="rect"/>
                  </pic:spPr>
                </pic:pic>
              </a:graphicData>
            </a:graphic>
          </wp:inline>
        </w:drawing>
      </w:r>
    </w:p>
    <w:p>
      <w:pPr>
        <w:pStyle w:val="ETISCaption"/>
        <w:keepNext w:val="0"/>
        <w:keepLines/>
        <w:jc w:val="center"/>
      </w:pPr>
      <w:r>
        <w:t>Figure 1. ETIS ecosystem and the role of Engineering Studio. Studio is connected to the Framework and Platform, but it has a distinct developmental-review purpose.</w:t>
      </w:r>
      <w:r>
        <w:t xml:space="preserve"> Historical reference figure; current text governs.</w:t>
      </w: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EXECUTIVE POSITION</w:t>
              <w:br/>
            </w:r>
            <w:r>
              <w:rPr>
                <w:sz w:val="20"/>
              </w:rPr>
              <w:t>Studio should be understood as part of an evidence-centered engineering learning system, not as a chatbot added to a course. Its value comes from the relationship among authentic repository evidence, controlled reviewer roles, longitudinal context, instructor governance, and production-grade operation.</w:t>
            </w:r>
          </w:p>
        </w:tc>
      </w:tr>
    </w:tbl>
    <w:p>
      <w:pPr>
        <w:spacing w:after="20"/>
      </w:pPr>
    </w:p>
    <w:p>
      <w:pPr>
        <w:pStyle w:val="Heading1"/>
      </w:pPr>
      <w:r>
        <w:t>1. Why ETIS Engineering Studio exists</w:t>
      </w:r>
    </w:p>
    <w:p>
      <w:r>
        <w:t>Modern software teams can produce code quickly, including with generative AI. That makes engineering judgment more important, not less. Students still need to determine what should be built, what evidence is credible, who owns a decision, what risks remain, what should be verified, and what happens when a technical choice is wrong.</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3528"/>
            <w:shd w:fill="122536"/>
            <w:tcMar>
              <w:top w:w="90" w:type="dxa"/>
              <w:start w:w="100" w:type="dxa"/>
              <w:bottom w:w="90" w:type="dxa"/>
              <w:end w:w="100" w:type="dxa"/>
            </w:tcMar>
          </w:tcPr>
          <w:p>
            <w:pPr>
              <w:keepNext w:val="0"/>
            </w:pPr>
            <w:r>
              <w:rPr>
                <w:b/>
                <w:color w:val="FFFFFF"/>
                <w:sz w:val="18"/>
              </w:rPr>
              <w:t>Educational challenge</w:t>
            </w:r>
          </w:p>
        </w:tc>
        <w:tc>
          <w:tcPr>
            <w:tcW w:type="dxa" w:w="6264"/>
            <w:shd w:fill="122536"/>
            <w:tcMar>
              <w:top w:w="90" w:type="dxa"/>
              <w:start w:w="100" w:type="dxa"/>
              <w:bottom w:w="90" w:type="dxa"/>
              <w:end w:w="100" w:type="dxa"/>
            </w:tcMar>
          </w:tcPr>
          <w:p>
            <w:pPr>
              <w:keepNext w:val="0"/>
            </w:pPr>
            <w:r>
              <w:rPr>
                <w:b/>
                <w:color w:val="FFFFFF"/>
                <w:sz w:val="18"/>
              </w:rPr>
              <w:t>Studio response</w:t>
            </w:r>
          </w:p>
        </w:tc>
      </w:tr>
      <w:tr>
        <w:trPr>
          <w:cantSplit/>
        </w:trPr>
        <w:tc>
          <w:tcPr>
            <w:tcW w:type="dxa" w:w="3528"/>
            <w:tcMar>
              <w:top w:w="90" w:type="dxa"/>
              <w:start w:w="100" w:type="dxa"/>
              <w:bottom w:w="90" w:type="dxa"/>
              <w:end w:w="100" w:type="dxa"/>
            </w:tcMar>
          </w:tcPr>
          <w:p>
            <w:pPr>
              <w:keepNext w:val="0"/>
            </w:pPr>
            <w:r>
              <w:rPr>
                <w:sz w:val="18"/>
              </w:rPr>
              <w:t>Students can produce artifacts without understanding them.</w:t>
            </w:r>
          </w:p>
        </w:tc>
        <w:tc>
          <w:tcPr>
            <w:tcW w:type="dxa" w:w="6264"/>
            <w:tcMar>
              <w:top w:w="90" w:type="dxa"/>
              <w:start w:w="100" w:type="dxa"/>
              <w:bottom w:w="90" w:type="dxa"/>
              <w:end w:w="100" w:type="dxa"/>
            </w:tcMar>
          </w:tcPr>
          <w:p>
            <w:pPr>
              <w:keepNext w:val="0"/>
            </w:pPr>
            <w:r>
              <w:rPr>
                <w:sz w:val="18"/>
              </w:rPr>
              <w:t>Reviewers ask what the evidence actually demonstrates and require the student to explain the engineering meaning.</w:t>
            </w:r>
          </w:p>
        </w:tc>
      </w:tr>
      <w:tr>
        <w:trPr>
          <w:cantSplit/>
        </w:trPr>
        <w:tc>
          <w:tcPr>
            <w:tcW w:type="dxa" w:w="3528"/>
            <w:tcMar>
              <w:top w:w="90" w:type="dxa"/>
              <w:start w:w="100" w:type="dxa"/>
              <w:bottom w:w="90" w:type="dxa"/>
              <w:end w:w="100" w:type="dxa"/>
            </w:tcMar>
          </w:tcPr>
          <w:p>
            <w:pPr>
              <w:keepNext w:val="0"/>
            </w:pPr>
            <w:r>
              <w:rPr>
                <w:sz w:val="18"/>
              </w:rPr>
              <w:t>AI can make an answer look authoritative even when evidence is weak.</w:t>
            </w:r>
          </w:p>
        </w:tc>
        <w:tc>
          <w:tcPr>
            <w:tcW w:type="dxa" w:w="6264"/>
            <w:tcMar>
              <w:top w:w="90" w:type="dxa"/>
              <w:start w:w="100" w:type="dxa"/>
              <w:bottom w:w="90" w:type="dxa"/>
              <w:end w:w="100" w:type="dxa"/>
            </w:tcMar>
          </w:tcPr>
          <w:p>
            <w:pPr>
              <w:keepNext w:val="0"/>
            </w:pPr>
            <w:r>
              <w:rPr>
                <w:sz w:val="18"/>
              </w:rPr>
              <w:t>Studio distinguishes observations from review interpretations, exposes gaps, and encourages disagreement when the reviewer missed evidence.</w:t>
            </w:r>
          </w:p>
        </w:tc>
      </w:tr>
      <w:tr>
        <w:trPr>
          <w:cantSplit/>
        </w:trPr>
        <w:tc>
          <w:tcPr>
            <w:tcW w:type="dxa" w:w="3528"/>
            <w:tcMar>
              <w:top w:w="90" w:type="dxa"/>
              <w:start w:w="100" w:type="dxa"/>
              <w:bottom w:w="90" w:type="dxa"/>
              <w:end w:w="100" w:type="dxa"/>
            </w:tcMar>
          </w:tcPr>
          <w:p>
            <w:pPr>
              <w:keepNext w:val="0"/>
            </w:pPr>
            <w:r>
              <w:rPr>
                <w:sz w:val="18"/>
              </w:rPr>
              <w:t>Traditional assignments can reward final artifacts while hiding reasoning.</w:t>
            </w:r>
          </w:p>
        </w:tc>
        <w:tc>
          <w:tcPr>
            <w:tcW w:type="dxa" w:w="6264"/>
            <w:tcMar>
              <w:top w:w="90" w:type="dxa"/>
              <w:start w:w="100" w:type="dxa"/>
              <w:bottom w:w="90" w:type="dxa"/>
              <w:end w:w="100" w:type="dxa"/>
            </w:tcMar>
          </w:tcPr>
          <w:p>
            <w:pPr>
              <w:keepNext w:val="0"/>
            </w:pPr>
            <w:r>
              <w:rPr>
                <w:sz w:val="18"/>
              </w:rPr>
              <w:t>Frozen evidence snapshots and individual review histories preserve the context in which a student reasoned.</w:t>
            </w:r>
          </w:p>
        </w:tc>
      </w:tr>
      <w:tr>
        <w:trPr>
          <w:cantSplit/>
        </w:trPr>
        <w:tc>
          <w:tcPr>
            <w:tcW w:type="dxa" w:w="3528"/>
            <w:tcMar>
              <w:top w:w="90" w:type="dxa"/>
              <w:start w:w="100" w:type="dxa"/>
              <w:bottom w:w="90" w:type="dxa"/>
              <w:end w:w="100" w:type="dxa"/>
            </w:tcMar>
          </w:tcPr>
          <w:p>
            <w:pPr>
              <w:keepNext w:val="0"/>
            </w:pPr>
            <w:r>
              <w:rPr>
                <w:sz w:val="18"/>
              </w:rPr>
              <w:t>Teams can mistake activity for evidence.</w:t>
            </w:r>
          </w:p>
        </w:tc>
        <w:tc>
          <w:tcPr>
            <w:tcW w:type="dxa" w:w="6264"/>
            <w:tcMar>
              <w:top w:w="90" w:type="dxa"/>
              <w:start w:w="100" w:type="dxa"/>
              <w:bottom w:w="90" w:type="dxa"/>
              <w:end w:w="100" w:type="dxa"/>
            </w:tcMar>
          </w:tcPr>
          <w:p>
            <w:pPr>
              <w:keepNext w:val="0"/>
            </w:pPr>
            <w:r>
              <w:rPr>
                <w:sz w:val="18"/>
              </w:rPr>
              <w:t>Studio evaluates repository artifacts, workflow signals, ownership, and phase-relevant evidence rather than rewarding commit counts.</w:t>
            </w:r>
          </w:p>
        </w:tc>
      </w:tr>
      <w:tr>
        <w:trPr>
          <w:cantSplit/>
        </w:trPr>
        <w:tc>
          <w:tcPr>
            <w:tcW w:type="dxa" w:w="3528"/>
            <w:tcMar>
              <w:top w:w="90" w:type="dxa"/>
              <w:start w:w="100" w:type="dxa"/>
              <w:bottom w:w="90" w:type="dxa"/>
              <w:end w:w="100" w:type="dxa"/>
            </w:tcMar>
          </w:tcPr>
          <w:p>
            <w:pPr>
              <w:keepNext w:val="0"/>
            </w:pPr>
            <w:r>
              <w:rPr>
                <w:sz w:val="18"/>
              </w:rPr>
              <w:t>Students may optimize for what they think the grader wants.</w:t>
            </w:r>
          </w:p>
        </w:tc>
        <w:tc>
          <w:tcPr>
            <w:tcW w:type="dxa" w:w="6264"/>
            <w:tcMar>
              <w:top w:w="90" w:type="dxa"/>
              <w:start w:w="100" w:type="dxa"/>
              <w:bottom w:w="90" w:type="dxa"/>
              <w:end w:w="100" w:type="dxa"/>
            </w:tcMar>
          </w:tcPr>
          <w:p>
            <w:pPr>
              <w:keepNext w:val="0"/>
            </w:pPr>
            <w:r>
              <w:rPr>
                <w:sz w:val="18"/>
              </w:rPr>
              <w:t>Studio is explicitly developmental. Formal phase-gate review is separate and grounded in tagged repository evidence.</w:t>
            </w:r>
          </w:p>
        </w:tc>
      </w:tr>
    </w:tbl>
    <w:p>
      <w:pPr>
        <w:spacing w:after="40"/>
      </w:pPr>
    </w:p>
    <w:p>
      <w:pPr>
        <w:pStyle w:val="ListBullet"/>
        <w:spacing w:after="50"/>
      </w:pPr>
      <w:r>
        <w:t>Practice asking better engineering questions, not merely producing answers.</w:t>
      </w:r>
    </w:p>
    <w:p>
      <w:pPr>
        <w:pStyle w:val="ListBullet"/>
        <w:spacing w:after="50"/>
      </w:pPr>
      <w:r>
        <w:t>Make uncertainty explicit and learn when “I do not know yet” is the responsible position.</w:t>
      </w:r>
    </w:p>
    <w:p>
      <w:pPr>
        <w:pStyle w:val="ListBullet"/>
        <w:spacing w:after="50"/>
      </w:pPr>
      <w:r>
        <w:t>Trace decisions to evidence, consequences, owners, and change triggers.</w:t>
      </w:r>
    </w:p>
    <w:p>
      <w:pPr>
        <w:pStyle w:val="ListBullet"/>
        <w:spacing w:after="50"/>
      </w:pPr>
      <w:r>
        <w:t>Experience disagreement, challenge, and correction as normal professional engineering behavior.</w:t>
      </w:r>
    </w:p>
    <w:p>
      <w:pPr>
        <w:pStyle w:val="ListBullet"/>
        <w:spacing w:after="50"/>
      </w:pPr>
      <w:r>
        <w:t>Build durable evidence in the repository so the work can stand independently of the conversation that helped improve it.</w:t>
      </w:r>
    </w:p>
    <w:p>
      <w:pPr>
        <w:pStyle w:val="Heading1"/>
      </w:pPr>
      <w:r>
        <w:t>2. Where Studio fits in ETIS</w:t>
      </w:r>
    </w:p>
    <w:p>
      <w:r>
        <w:t>ETIS is broader than a single course or application. COMP 330/474 uses a selective two-cycle implementation of the larger lifecycle. The six course phase gates are an educational implementation, not the complete ETIS lifecycle.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2232"/>
            <w:shd w:fill="122536"/>
            <w:tcMar>
              <w:top w:w="90" w:type="dxa"/>
              <w:start w:w="100" w:type="dxa"/>
              <w:bottom w:w="90" w:type="dxa"/>
              <w:end w:w="100" w:type="dxa"/>
            </w:tcMar>
          </w:tcPr>
          <w:p>
            <w:pPr>
              <w:keepNext w:val="0"/>
            </w:pPr>
            <w:r>
              <w:rPr>
                <w:b/>
                <w:color w:val="FFFFFF"/>
                <w:sz w:val="18"/>
              </w:rPr>
              <w:t>ETIS element</w:t>
            </w:r>
          </w:p>
        </w:tc>
        <w:tc>
          <w:tcPr>
            <w:tcW w:type="dxa" w:w="4680"/>
            <w:shd w:fill="122536"/>
            <w:tcMar>
              <w:top w:w="90" w:type="dxa"/>
              <w:start w:w="100" w:type="dxa"/>
              <w:bottom w:w="90" w:type="dxa"/>
              <w:end w:w="100" w:type="dxa"/>
            </w:tcMar>
          </w:tcPr>
          <w:p>
            <w:pPr>
              <w:keepNext w:val="0"/>
            </w:pPr>
            <w:r>
              <w:rPr>
                <w:b/>
                <w:color w:val="FFFFFF"/>
                <w:sz w:val="18"/>
              </w:rPr>
              <w:t>Primary purpose</w:t>
            </w:r>
          </w:p>
        </w:tc>
        <w:tc>
          <w:tcPr>
            <w:tcW w:type="dxa" w:w="2952"/>
            <w:shd w:fill="122536"/>
            <w:tcMar>
              <w:top w:w="90" w:type="dxa"/>
              <w:start w:w="100" w:type="dxa"/>
              <w:bottom w:w="90" w:type="dxa"/>
              <w:end w:w="100" w:type="dxa"/>
            </w:tcMar>
          </w:tcPr>
          <w:p>
            <w:pPr>
              <w:keepNext w:val="0"/>
            </w:pPr>
            <w:r>
              <w:rPr>
                <w:b/>
                <w:color w:val="FFFFFF"/>
                <w:sz w:val="18"/>
              </w:rPr>
              <w:t>What it is not</w:t>
            </w:r>
          </w:p>
        </w:tc>
      </w:tr>
      <w:tr>
        <w:trPr>
          <w:cantSplit/>
        </w:trPr>
        <w:tc>
          <w:tcPr>
            <w:tcW w:type="dxa" w:w="2232"/>
            <w:tcMar>
              <w:top w:w="90" w:type="dxa"/>
              <w:start w:w="100" w:type="dxa"/>
              <w:bottom w:w="90" w:type="dxa"/>
              <w:end w:w="100" w:type="dxa"/>
            </w:tcMar>
          </w:tcPr>
          <w:p>
            <w:pPr>
              <w:keepNext w:val="0"/>
            </w:pPr>
            <w:r>
              <w:rPr>
                <w:sz w:val="18"/>
              </w:rPr>
              <w:t>ETIS Framework</w:t>
            </w:r>
          </w:p>
        </w:tc>
        <w:tc>
          <w:tcPr>
            <w:tcW w:type="dxa" w:w="4680"/>
            <w:tcMar>
              <w:top w:w="90" w:type="dxa"/>
              <w:start w:w="100" w:type="dxa"/>
              <w:bottom w:w="90" w:type="dxa"/>
              <w:end w:w="100" w:type="dxa"/>
            </w:tcMar>
          </w:tcPr>
          <w:p>
            <w:pPr>
              <w:keepNext w:val="0"/>
            </w:pPr>
            <w:r>
              <w:rPr>
                <w:sz w:val="18"/>
              </w:rPr>
              <w:t>Defines the discipline: responsibilities, evidence, tradeoffs, governance, and lifecycle thinking.</w:t>
            </w:r>
          </w:p>
        </w:tc>
        <w:tc>
          <w:tcPr>
            <w:tcW w:type="dxa" w:w="2952"/>
            <w:tcMar>
              <w:top w:w="90" w:type="dxa"/>
              <w:start w:w="100" w:type="dxa"/>
              <w:bottom w:w="90" w:type="dxa"/>
              <w:end w:w="100" w:type="dxa"/>
            </w:tcMar>
          </w:tcPr>
          <w:p>
            <w:pPr>
              <w:keepNext w:val="0"/>
            </w:pPr>
            <w:r>
              <w:rPr>
                <w:sz w:val="18"/>
              </w:rPr>
              <w:t>Not a course-specific application.</w:t>
            </w:r>
          </w:p>
        </w:tc>
      </w:tr>
      <w:tr>
        <w:trPr>
          <w:cantSplit/>
        </w:trPr>
        <w:tc>
          <w:tcPr>
            <w:tcW w:type="dxa" w:w="2232"/>
            <w:tcMar>
              <w:top w:w="90" w:type="dxa"/>
              <w:start w:w="100" w:type="dxa"/>
              <w:bottom w:w="90" w:type="dxa"/>
              <w:end w:w="100" w:type="dxa"/>
            </w:tcMar>
          </w:tcPr>
          <w:p>
            <w:pPr>
              <w:keepNext w:val="0"/>
            </w:pPr>
            <w:r>
              <w:rPr>
                <w:sz w:val="18"/>
              </w:rPr>
              <w:t>Books &amp; publications</w:t>
            </w:r>
          </w:p>
        </w:tc>
        <w:tc>
          <w:tcPr>
            <w:tcW w:type="dxa" w:w="4680"/>
            <w:tcMar>
              <w:top w:w="90" w:type="dxa"/>
              <w:start w:w="100" w:type="dxa"/>
              <w:bottom w:w="90" w:type="dxa"/>
              <w:end w:w="100" w:type="dxa"/>
            </w:tcMar>
          </w:tcPr>
          <w:p>
            <w:pPr>
              <w:keepNext w:val="0"/>
            </w:pPr>
            <w:r>
              <w:rPr>
                <w:sz w:val="18"/>
              </w:rPr>
              <w:t>Develop conceptual knowledge and engineering judgment.</w:t>
            </w:r>
          </w:p>
        </w:tc>
        <w:tc>
          <w:tcPr>
            <w:tcW w:type="dxa" w:w="2952"/>
            <w:tcMar>
              <w:top w:w="90" w:type="dxa"/>
              <w:start w:w="100" w:type="dxa"/>
              <w:bottom w:w="90" w:type="dxa"/>
              <w:end w:w="100" w:type="dxa"/>
            </w:tcMar>
          </w:tcPr>
          <w:p>
            <w:pPr>
              <w:keepNext w:val="0"/>
            </w:pPr>
            <w:r>
              <w:rPr>
                <w:sz w:val="18"/>
              </w:rPr>
              <w:t>Not the operational workflow.</w:t>
            </w:r>
          </w:p>
        </w:tc>
      </w:tr>
      <w:tr>
        <w:trPr>
          <w:cantSplit/>
        </w:trPr>
        <w:tc>
          <w:tcPr>
            <w:tcW w:type="dxa" w:w="2232"/>
            <w:tcMar>
              <w:top w:w="90" w:type="dxa"/>
              <w:start w:w="100" w:type="dxa"/>
              <w:bottom w:w="90" w:type="dxa"/>
              <w:end w:w="100" w:type="dxa"/>
            </w:tcMar>
          </w:tcPr>
          <w:p>
            <w:pPr>
              <w:keepNext w:val="0"/>
            </w:pPr>
            <w:r>
              <w:rPr>
                <w:sz w:val="18"/>
              </w:rPr>
              <w:t>Educational Ecosystem</w:t>
            </w:r>
          </w:p>
        </w:tc>
        <w:tc>
          <w:tcPr>
            <w:tcW w:type="dxa" w:w="4680"/>
            <w:tcMar>
              <w:top w:w="90" w:type="dxa"/>
              <w:start w:w="100" w:type="dxa"/>
              <w:bottom w:w="90" w:type="dxa"/>
              <w:end w:w="100" w:type="dxa"/>
            </w:tcMar>
          </w:tcPr>
          <w:p>
            <w:pPr>
              <w:keepNext w:val="0"/>
            </w:pPr>
            <w:r>
              <w:rPr>
                <w:sz w:val="18"/>
              </w:rPr>
              <w:t>Adapts ETIS for teaching models, durations, and outcomes.</w:t>
            </w:r>
          </w:p>
        </w:tc>
        <w:tc>
          <w:tcPr>
            <w:tcW w:type="dxa" w:w="2952"/>
            <w:tcMar>
              <w:top w:w="90" w:type="dxa"/>
              <w:start w:w="100" w:type="dxa"/>
              <w:bottom w:w="90" w:type="dxa"/>
              <w:end w:w="100" w:type="dxa"/>
            </w:tcMar>
          </w:tcPr>
          <w:p>
            <w:pPr>
              <w:keepNext w:val="0"/>
            </w:pPr>
            <w:r>
              <w:rPr>
                <w:sz w:val="18"/>
              </w:rPr>
              <w:t>Not the student evidence record.</w:t>
            </w:r>
          </w:p>
        </w:tc>
      </w:tr>
      <w:tr>
        <w:trPr>
          <w:cantSplit/>
        </w:trPr>
        <w:tc>
          <w:tcPr>
            <w:tcW w:type="dxa" w:w="2232"/>
            <w:tcMar>
              <w:top w:w="90" w:type="dxa"/>
              <w:start w:w="100" w:type="dxa"/>
              <w:bottom w:w="90" w:type="dxa"/>
              <w:end w:w="100" w:type="dxa"/>
            </w:tcMar>
          </w:tcPr>
          <w:p>
            <w:pPr>
              <w:keepNext w:val="0"/>
            </w:pPr>
            <w:r>
              <w:rPr>
                <w:sz w:val="18"/>
              </w:rPr>
              <w:t>Engineering Platform</w:t>
            </w:r>
          </w:p>
        </w:tc>
        <w:tc>
          <w:tcPr>
            <w:tcW w:type="dxa" w:w="4680"/>
            <w:tcMar>
              <w:top w:w="90" w:type="dxa"/>
              <w:start w:w="100" w:type="dxa"/>
              <w:bottom w:w="90" w:type="dxa"/>
              <w:end w:w="100" w:type="dxa"/>
            </w:tcMar>
          </w:tcPr>
          <w:p>
            <w:pPr>
              <w:keepNext w:val="0"/>
            </w:pPr>
            <w:r>
              <w:rPr>
                <w:sz w:val="18"/>
              </w:rPr>
              <w:t>Provides ES-100–ES-114 stages, templates, examples, governance assets, and practical guidance.</w:t>
            </w:r>
          </w:p>
        </w:tc>
        <w:tc>
          <w:tcPr>
            <w:tcW w:type="dxa" w:w="2952"/>
            <w:tcMar>
              <w:top w:w="90" w:type="dxa"/>
              <w:start w:w="100" w:type="dxa"/>
              <w:bottom w:w="90" w:type="dxa"/>
              <w:end w:w="100" w:type="dxa"/>
            </w:tcMar>
          </w:tcPr>
          <w:p>
            <w:pPr>
              <w:keepNext w:val="0"/>
            </w:pPr>
            <w:r>
              <w:rPr>
                <w:sz w:val="18"/>
              </w:rPr>
              <w:t>Not Preflight, Studio, or formal review.</w:t>
            </w:r>
          </w:p>
        </w:tc>
      </w:tr>
      <w:tr>
        <w:trPr>
          <w:cantSplit/>
        </w:trPr>
        <w:tc>
          <w:tcPr>
            <w:tcW w:type="dxa" w:w="2232"/>
            <w:tcMar>
              <w:top w:w="90" w:type="dxa"/>
              <w:start w:w="100" w:type="dxa"/>
              <w:bottom w:w="90" w:type="dxa"/>
              <w:end w:w="100" w:type="dxa"/>
            </w:tcMar>
          </w:tcPr>
          <w:p>
            <w:pPr>
              <w:keepNext w:val="0"/>
            </w:pPr>
            <w:r>
              <w:rPr>
                <w:sz w:val="18"/>
              </w:rPr>
              <w:t>ETIS Preflight</w:t>
            </w:r>
          </w:p>
        </w:tc>
        <w:tc>
          <w:tcPr>
            <w:tcW w:type="dxa" w:w="4680"/>
            <w:tcMar>
              <w:top w:w="90" w:type="dxa"/>
              <w:start w:w="100" w:type="dxa"/>
              <w:bottom w:w="90" w:type="dxa"/>
              <w:end w:w="100" w:type="dxa"/>
            </w:tcMar>
          </w:tcPr>
          <w:p>
            <w:pPr>
              <w:keepNext w:val="0"/>
            </w:pPr>
            <w:r>
              <w:rPr>
                <w:sz w:val="18"/>
              </w:rPr>
              <w:t>Checks whether phase-gate evidence appears ready for formal review.</w:t>
            </w:r>
          </w:p>
        </w:tc>
        <w:tc>
          <w:tcPr>
            <w:tcW w:type="dxa" w:w="2952"/>
            <w:tcMar>
              <w:top w:w="90" w:type="dxa"/>
              <w:start w:w="100" w:type="dxa"/>
              <w:bottom w:w="90" w:type="dxa"/>
              <w:end w:w="100" w:type="dxa"/>
            </w:tcMar>
          </w:tcPr>
          <w:p>
            <w:pPr>
              <w:keepNext w:val="0"/>
            </w:pPr>
            <w:r>
              <w:rPr>
                <w:sz w:val="18"/>
              </w:rPr>
              <w:t>Not the formal reviewer or grade authority.</w:t>
            </w:r>
          </w:p>
        </w:tc>
      </w:tr>
      <w:tr>
        <w:trPr>
          <w:cantSplit/>
        </w:trPr>
        <w:tc>
          <w:tcPr>
            <w:tcW w:type="dxa" w:w="2232"/>
            <w:tcMar>
              <w:top w:w="90" w:type="dxa"/>
              <w:start w:w="100" w:type="dxa"/>
              <w:bottom w:w="90" w:type="dxa"/>
              <w:end w:w="100" w:type="dxa"/>
            </w:tcMar>
          </w:tcPr>
          <w:p>
            <w:pPr>
              <w:keepNext w:val="0"/>
            </w:pPr>
            <w:r>
              <w:rPr>
                <w:sz w:val="18"/>
              </w:rPr>
              <w:t>Engineering Studio</w:t>
            </w:r>
          </w:p>
        </w:tc>
        <w:tc>
          <w:tcPr>
            <w:tcW w:type="dxa" w:w="4680"/>
            <w:tcMar>
              <w:top w:w="90" w:type="dxa"/>
              <w:start w:w="100" w:type="dxa"/>
              <w:bottom w:w="90" w:type="dxa"/>
              <w:end w:w="100" w:type="dxa"/>
            </w:tcMar>
          </w:tcPr>
          <w:p>
            <w:pPr>
              <w:keepNext w:val="0"/>
            </w:pPr>
            <w:r>
              <w:rPr>
                <w:sz w:val="18"/>
              </w:rPr>
              <w:t>Develops engineering judgment through repeated evidence-grounded developmental review.</w:t>
            </w:r>
          </w:p>
        </w:tc>
        <w:tc>
          <w:tcPr>
            <w:tcW w:type="dxa" w:w="2952"/>
            <w:tcMar>
              <w:top w:w="90" w:type="dxa"/>
              <w:start w:w="100" w:type="dxa"/>
              <w:bottom w:w="90" w:type="dxa"/>
              <w:end w:w="100" w:type="dxa"/>
            </w:tcMar>
          </w:tcPr>
          <w:p>
            <w:pPr>
              <w:keepNext w:val="0"/>
            </w:pPr>
            <w:r>
              <w:rPr>
                <w:sz w:val="18"/>
              </w:rPr>
              <w:t>Not a self-service public app or grading AI.</w:t>
            </w:r>
          </w:p>
        </w:tc>
      </w:tr>
      <w:tr>
        <w:trPr>
          <w:cantSplit/>
        </w:trPr>
        <w:tc>
          <w:tcPr>
            <w:tcW w:type="dxa" w:w="2232"/>
            <w:tcMar>
              <w:top w:w="90" w:type="dxa"/>
              <w:start w:w="100" w:type="dxa"/>
              <w:bottom w:w="90" w:type="dxa"/>
              <w:end w:w="100" w:type="dxa"/>
            </w:tcMar>
          </w:tcPr>
          <w:p>
            <w:pPr>
              <w:keepNext w:val="0"/>
            </w:pPr>
            <w:r>
              <w:rPr>
                <w:sz w:val="18"/>
              </w:rPr>
              <w:t>Engineering Review Center</w:t>
            </w:r>
          </w:p>
        </w:tc>
        <w:tc>
          <w:tcPr>
            <w:tcW w:type="dxa" w:w="4680"/>
            <w:tcMar>
              <w:top w:w="90" w:type="dxa"/>
              <w:start w:w="100" w:type="dxa"/>
              <w:bottom w:w="90" w:type="dxa"/>
              <w:end w:w="100" w:type="dxa"/>
            </w:tcMar>
          </w:tcPr>
          <w:p>
            <w:pPr>
              <w:keepNext w:val="0"/>
            </w:pPr>
            <w:r>
              <w:rPr>
                <w:sz w:val="18"/>
              </w:rPr>
              <w:t>Supports formal instructor-led phase-gate review of tagged evidence.</w:t>
            </w:r>
          </w:p>
        </w:tc>
        <w:tc>
          <w:tcPr>
            <w:tcW w:type="dxa" w:w="2952"/>
            <w:tcMar>
              <w:top w:w="90" w:type="dxa"/>
              <w:start w:w="100" w:type="dxa"/>
              <w:bottom w:w="90" w:type="dxa"/>
              <w:end w:w="100" w:type="dxa"/>
            </w:tcMar>
          </w:tcPr>
          <w:p>
            <w:pPr>
              <w:keepNext w:val="0"/>
            </w:pPr>
            <w:r>
              <w:rPr>
                <w:sz w:val="18"/>
              </w:rPr>
              <w:t>Does not replace instructor academic authority.</w:t>
            </w:r>
          </w:p>
        </w:tc>
      </w:tr>
      <w:tr>
        <w:trPr>
          <w:cantSplit/>
        </w:trPr>
        <w:tc>
          <w:tcPr>
            <w:tcW w:type="dxa" w:w="2232"/>
            <w:tcMar>
              <w:top w:w="90" w:type="dxa"/>
              <w:start w:w="100" w:type="dxa"/>
              <w:bottom w:w="90" w:type="dxa"/>
              <w:end w:w="100" w:type="dxa"/>
            </w:tcMar>
          </w:tcPr>
          <w:p>
            <w:pPr>
              <w:keepNext w:val="0"/>
            </w:pPr>
            <w:r>
              <w:rPr>
                <w:sz w:val="18"/>
              </w:rPr>
              <w:t>GitHub repository</w:t>
            </w:r>
          </w:p>
        </w:tc>
        <w:tc>
          <w:tcPr>
            <w:tcW w:type="dxa" w:w="4680"/>
            <w:tcMar>
              <w:top w:w="90" w:type="dxa"/>
              <w:start w:w="100" w:type="dxa"/>
              <w:bottom w:w="90" w:type="dxa"/>
              <w:end w:w="100" w:type="dxa"/>
            </w:tcMar>
          </w:tcPr>
          <w:p>
            <w:pPr>
              <w:keepNext w:val="0"/>
            </w:pPr>
            <w:r>
              <w:rPr>
                <w:sz w:val="18"/>
              </w:rPr>
              <w:t>Preserves actual engineering artifacts, commits, collaboration signals, and formal tags.</w:t>
            </w:r>
          </w:p>
        </w:tc>
        <w:tc>
          <w:tcPr>
            <w:tcW w:type="dxa" w:w="2952"/>
            <w:tcMar>
              <w:top w:w="90" w:type="dxa"/>
              <w:start w:w="100" w:type="dxa"/>
              <w:bottom w:w="90" w:type="dxa"/>
              <w:end w:w="100" w:type="dxa"/>
            </w:tcMar>
          </w:tcPr>
          <w:p>
            <w:pPr>
              <w:keepNext w:val="0"/>
            </w:pPr>
            <w:r>
              <w:rPr>
                <w:sz w:val="18"/>
              </w:rPr>
              <w:t>Not merely a code bucket; it is the durable evidence record.</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1F4E79"/>
                <w:sz w:val="18"/>
              </w:rPr>
              <w:t>COURSE COMMUNICATION</w:t>
              <w:br/>
            </w:r>
            <w:r>
              <w:rPr>
                <w:sz w:val="20"/>
              </w:rPr>
              <w:t>Sakai remains the authoritative course announcement and management environment. GitHub Discussions is for persistent shared engineering questions and reasoning. The deeper ETIS website/Platform remains the place for framework guidance, examples, templates, and technical reference.</w:t>
            </w:r>
          </w:p>
        </w:tc>
      </w:tr>
    </w:tbl>
    <w:p>
      <w:pPr>
        <w:spacing w:after="20"/>
      </w:pPr>
    </w:p>
    <w:p>
      <w:pPr>
        <w:pStyle w:val="Heading1"/>
      </w:pPr>
      <w:r>
        <w:t>3. The Engineering Education Suite</w:t>
      </w:r>
    </w:p>
    <w:p>
      <w:pPr>
        <w:keepNext/>
        <w:jc w:val="center"/>
      </w:pPr>
      <w:r>
        <w:drawing>
          <wp:inline xmlns:a="http://schemas.openxmlformats.org/drawingml/2006/main" xmlns:pic="http://schemas.openxmlformats.org/drawingml/2006/picture">
            <wp:extent cx="6080760" cy="2146588"/>
            <wp:docPr id="2" name="Picture 2" descr="Figure 2. The three suite capabilities deliberately separate readiness, developmental review, and formal review." title="Figure 2"/>
            <wp:cNvGraphicFramePr>
              <a:graphicFrameLocks noChangeAspect="1"/>
            </wp:cNvGraphicFramePr>
            <a:graphic>
              <a:graphicData uri="http://schemas.openxmlformats.org/drawingml/2006/picture">
                <pic:pic>
                  <pic:nvPicPr>
                    <pic:cNvPr id="0" name="fig02_suite_boundaries.png"/>
                    <pic:cNvPicPr/>
                  </pic:nvPicPr>
                  <pic:blipFill>
                    <a:blip r:embed="rId12"/>
                    <a:stretch>
                      <a:fillRect/>
                    </a:stretch>
                  </pic:blipFill>
                  <pic:spPr>
                    <a:xfrm>
                      <a:off x="0" y="0"/>
                      <a:ext cx="6080760" cy="2146588"/>
                    </a:xfrm>
                    <a:prstGeom prst="rect"/>
                  </pic:spPr>
                </pic:pic>
              </a:graphicData>
            </a:graphic>
          </wp:inline>
        </w:drawing>
      </w:r>
    </w:p>
    <w:p>
      <w:pPr>
        <w:pStyle w:val="ETISCaption"/>
        <w:keepNext w:val="0"/>
        <w:keepLines/>
        <w:jc w:val="center"/>
      </w:pPr>
      <w:r>
        <w:t>Figure 2. The three suite capabilities deliberately separate readiness, developmental review, and formal review.</w:t>
      </w:r>
      <w:r>
        <w:t xml:space="preserve"> Historical reference figure; current text governs.</w:t>
      </w:r>
    </w:p>
    <w:p>
      <w:r>
        <w:t>The typical student workflow is iterative. Studio can be used many times during a phase; Preflight is most useful as the team approaches formal readiness; the Review Center is formal and uses the designated Git tag as the evidence boundary.</w:t>
      </w:r>
    </w:p>
    <w:p>
      <w:pPr>
        <w:keepNext/>
        <w:jc w:val="center"/>
      </w:pPr>
      <w:r>
        <w:drawing>
          <wp:inline xmlns:a="http://schemas.openxmlformats.org/drawingml/2006/main" xmlns:pic="http://schemas.openxmlformats.org/drawingml/2006/picture">
            <wp:extent cx="6080760" cy="2443136"/>
            <wp:docPr id="3" name="Picture 3" descr="Figure 3. Typical student evidence-and-review loop. A formal tag is created only after the evidence is ready to stand on its own." title="Figure 3"/>
            <wp:cNvGraphicFramePr>
              <a:graphicFrameLocks noChangeAspect="1"/>
            </wp:cNvGraphicFramePr>
            <a:graphic>
              <a:graphicData uri="http://schemas.openxmlformats.org/drawingml/2006/picture">
                <pic:pic>
                  <pic:nvPicPr>
                    <pic:cNvPr id="0" name="fig03_student_loop.png"/>
                    <pic:cNvPicPr/>
                  </pic:nvPicPr>
                  <pic:blipFill>
                    <a:blip r:embed="rId13"/>
                    <a:stretch>
                      <a:fillRect/>
                    </a:stretch>
                  </pic:blipFill>
                  <pic:spPr>
                    <a:xfrm>
                      <a:off x="0" y="0"/>
                      <a:ext cx="6080760" cy="2443136"/>
                    </a:xfrm>
                    <a:prstGeom prst="rect"/>
                  </pic:spPr>
                </pic:pic>
              </a:graphicData>
            </a:graphic>
          </wp:inline>
        </w:drawing>
      </w:r>
    </w:p>
    <w:p>
      <w:pPr>
        <w:pStyle w:val="ETISCaption"/>
        <w:keepNext w:val="0"/>
        <w:keepLines/>
        <w:jc w:val="center"/>
      </w:pPr>
      <w:r>
        <w:t>Figure 3. Typical student evidence-and-review loop. A formal tag is created only after the evidence is ready to stand on its own.</w:t>
      </w:r>
      <w:r>
        <w:t xml:space="preserve"> Historical reference figure; current text governs.</w:t>
      </w:r>
    </w:p>
    <w:p>
      <w:pPr>
        <w:pStyle w:val="Heading1"/>
      </w:pPr>
      <w:r>
        <w:t>4. Studio from the student perspective</w:t>
      </w:r>
    </w:p>
    <w:p>
      <w:r>
        <w:t>Students experience Studio as an apprenticeship environment. They sign in with institutional identity, establish their team and GitHub identity, connect one verified team repository, inspect phase-aware Engineering Evidence, and choose the review interaction that best fits the current need.</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2232"/>
            <w:shd w:fill="122536"/>
            <w:tcMar>
              <w:top w:w="90" w:type="dxa"/>
              <w:start w:w="100" w:type="dxa"/>
              <w:bottom w:w="90" w:type="dxa"/>
              <w:end w:w="100" w:type="dxa"/>
            </w:tcMar>
          </w:tcPr>
          <w:p>
            <w:pPr>
              <w:keepNext w:val="0"/>
            </w:pPr>
            <w:r>
              <w:rPr>
                <w:b/>
                <w:color w:val="FFFFFF"/>
                <w:sz w:val="18"/>
              </w:rPr>
              <w:t>Student task</w:t>
            </w:r>
          </w:p>
        </w:tc>
        <w:tc>
          <w:tcPr>
            <w:tcW w:type="dxa" w:w="5112"/>
            <w:shd w:fill="122536"/>
            <w:tcMar>
              <w:top w:w="90" w:type="dxa"/>
              <w:start w:w="100" w:type="dxa"/>
              <w:bottom w:w="90" w:type="dxa"/>
              <w:end w:w="100" w:type="dxa"/>
            </w:tcMar>
          </w:tcPr>
          <w:p>
            <w:pPr>
              <w:keepNext w:val="0"/>
            </w:pPr>
            <w:r>
              <w:rPr>
                <w:b/>
                <w:color w:val="FFFFFF"/>
                <w:sz w:val="18"/>
              </w:rPr>
              <w:t>What happens</w:t>
            </w:r>
          </w:p>
        </w:tc>
        <w:tc>
          <w:tcPr>
            <w:tcW w:type="dxa" w:w="2520"/>
            <w:shd w:fill="122536"/>
            <w:tcMar>
              <w:top w:w="90" w:type="dxa"/>
              <w:start w:w="100" w:type="dxa"/>
              <w:bottom w:w="90" w:type="dxa"/>
              <w:end w:w="100" w:type="dxa"/>
            </w:tcMar>
          </w:tcPr>
          <w:p>
            <w:pPr>
              <w:keepNext w:val="0"/>
            </w:pPr>
            <w:r>
              <w:rPr>
                <w:b/>
                <w:color w:val="FFFFFF"/>
                <w:sz w:val="18"/>
              </w:rPr>
              <w:t>Detailed reference</w:t>
            </w:r>
          </w:p>
        </w:tc>
      </w:tr>
      <w:tr>
        <w:trPr>
          <w:cantSplit/>
        </w:trPr>
        <w:tc>
          <w:tcPr>
            <w:tcW w:type="dxa" w:w="2232"/>
            <w:tcMar>
              <w:top w:w="90" w:type="dxa"/>
              <w:start w:w="100" w:type="dxa"/>
              <w:bottom w:w="90" w:type="dxa"/>
              <w:end w:w="100" w:type="dxa"/>
            </w:tcMar>
          </w:tcPr>
          <w:p>
            <w:pPr>
              <w:keepNext w:val="0"/>
            </w:pPr>
            <w:r>
              <w:rPr>
                <w:sz w:val="18"/>
              </w:rPr>
              <w:t>Sign in and establish context</w:t>
            </w:r>
          </w:p>
        </w:tc>
        <w:tc>
          <w:tcPr>
            <w:tcW w:type="dxa" w:w="5112"/>
            <w:tcMar>
              <w:top w:w="90" w:type="dxa"/>
              <w:start w:w="100" w:type="dxa"/>
              <w:bottom w:w="90" w:type="dxa"/>
              <w:end w:w="100" w:type="dxa"/>
            </w:tcMar>
          </w:tcPr>
          <w:p>
            <w:pPr>
              <w:keepNext w:val="0"/>
            </w:pPr>
            <w:r>
              <w:rPr>
                <w:sz w:val="18"/>
              </w:rPr>
              <w:t>Institutional identity authenticates the student; roster/team authorization determines what the student may access.</w:t>
            </w:r>
          </w:p>
        </w:tc>
        <w:tc>
          <w:tcPr>
            <w:tcW w:type="dxa" w:w="2520"/>
            <w:tcMar>
              <w:top w:w="90" w:type="dxa"/>
              <w:start w:w="100" w:type="dxa"/>
              <w:bottom w:w="90" w:type="dxa"/>
              <w:end w:w="100" w:type="dxa"/>
            </w:tcMar>
          </w:tcPr>
          <w:p>
            <w:pPr>
              <w:keepNext w:val="0"/>
            </w:pPr>
            <w:r>
              <w:rPr>
                <w:sz w:val="18"/>
              </w:rPr>
              <w:t>05 Student User Guide</w:t>
            </w:r>
          </w:p>
        </w:tc>
      </w:tr>
      <w:tr>
        <w:trPr>
          <w:cantSplit/>
        </w:trPr>
        <w:tc>
          <w:tcPr>
            <w:tcW w:type="dxa" w:w="2232"/>
            <w:tcMar>
              <w:top w:w="90" w:type="dxa"/>
              <w:start w:w="100" w:type="dxa"/>
              <w:bottom w:w="90" w:type="dxa"/>
              <w:end w:w="100" w:type="dxa"/>
            </w:tcMar>
          </w:tcPr>
          <w:p>
            <w:pPr>
              <w:keepNext w:val="0"/>
            </w:pPr>
            <w:r>
              <w:rPr>
                <w:sz w:val="18"/>
              </w:rPr>
              <w:t>Link GitHub identity</w:t>
            </w:r>
          </w:p>
        </w:tc>
        <w:tc>
          <w:tcPr>
            <w:tcW w:type="dxa" w:w="5112"/>
            <w:tcMar>
              <w:top w:w="90" w:type="dxa"/>
              <w:start w:w="100" w:type="dxa"/>
              <w:bottom w:w="90" w:type="dxa"/>
              <w:end w:w="100" w:type="dxa"/>
            </w:tcMar>
          </w:tcPr>
          <w:p>
            <w:pPr>
              <w:keepNext w:val="0"/>
            </w:pPr>
            <w:r>
              <w:rPr>
                <w:sz w:val="18"/>
              </w:rPr>
              <w:t>Studio associates the student with the GitHub account used for engineering identity; repository evidence access remains a separate GitHub App boundary.</w:t>
            </w:r>
          </w:p>
        </w:tc>
        <w:tc>
          <w:tcPr>
            <w:tcW w:type="dxa" w:w="2520"/>
            <w:tcMar>
              <w:top w:w="90" w:type="dxa"/>
              <w:start w:w="100" w:type="dxa"/>
              <w:bottom w:w="90" w:type="dxa"/>
              <w:end w:w="100" w:type="dxa"/>
            </w:tcMar>
          </w:tcPr>
          <w:p>
            <w:pPr>
              <w:keepNext w:val="0"/>
            </w:pPr>
            <w:r>
              <w:rPr>
                <w:sz w:val="18"/>
              </w:rPr>
              <w:t>05, 06</w:t>
            </w:r>
          </w:p>
        </w:tc>
      </w:tr>
      <w:tr>
        <w:trPr>
          <w:cantSplit/>
        </w:trPr>
        <w:tc>
          <w:tcPr>
            <w:tcW w:type="dxa" w:w="2232"/>
            <w:tcMar>
              <w:top w:w="90" w:type="dxa"/>
              <w:start w:w="100" w:type="dxa"/>
              <w:bottom w:w="90" w:type="dxa"/>
              <w:end w:w="100" w:type="dxa"/>
            </w:tcMar>
          </w:tcPr>
          <w:p>
            <w:pPr>
              <w:keepNext w:val="0"/>
            </w:pPr>
            <w:r>
              <w:rPr>
                <w:sz w:val="18"/>
              </w:rPr>
              <w:t>Verify the team repository</w:t>
            </w:r>
          </w:p>
        </w:tc>
        <w:tc>
          <w:tcPr>
            <w:tcW w:type="dxa" w:w="5112"/>
            <w:tcMar>
              <w:top w:w="90" w:type="dxa"/>
              <w:start w:w="100" w:type="dxa"/>
              <w:bottom w:w="90" w:type="dxa"/>
              <w:end w:w="100" w:type="dxa"/>
            </w:tcMar>
          </w:tcPr>
          <w:p>
            <w:pPr>
              <w:keepNext w:val="0"/>
            </w:pPr>
            <w:r>
              <w:rPr>
                <w:sz w:val="18"/>
              </w:rPr>
              <w:t>The team nominates the actual working repository; GitHub owner/admin authorization and exact-repository verification establish trusted evidence.</w:t>
            </w:r>
          </w:p>
        </w:tc>
        <w:tc>
          <w:tcPr>
            <w:tcW w:type="dxa" w:w="2520"/>
            <w:tcMar>
              <w:top w:w="90" w:type="dxa"/>
              <w:start w:w="100" w:type="dxa"/>
              <w:bottom w:w="90" w:type="dxa"/>
              <w:end w:w="100" w:type="dxa"/>
            </w:tcMar>
          </w:tcPr>
          <w:p>
            <w:pPr>
              <w:keepNext w:val="0"/>
            </w:pPr>
            <w:r>
              <w:rPr>
                <w:sz w:val="18"/>
              </w:rPr>
              <w:t>06 Team GitHub &amp; Repository Setup Quickstart</w:t>
            </w:r>
          </w:p>
        </w:tc>
      </w:tr>
      <w:tr>
        <w:trPr>
          <w:cantSplit/>
        </w:trPr>
        <w:tc>
          <w:tcPr>
            <w:tcW w:type="dxa" w:w="2232"/>
            <w:tcMar>
              <w:top w:w="90" w:type="dxa"/>
              <w:start w:w="100" w:type="dxa"/>
              <w:bottom w:w="90" w:type="dxa"/>
              <w:end w:w="100" w:type="dxa"/>
            </w:tcMar>
          </w:tcPr>
          <w:p>
            <w:pPr>
              <w:keepNext w:val="0"/>
            </w:pPr>
            <w:r>
              <w:rPr>
                <w:sz w:val="18"/>
              </w:rPr>
              <w:t>Inspect Engineering Evidence</w:t>
            </w:r>
          </w:p>
        </w:tc>
        <w:tc>
          <w:tcPr>
            <w:tcW w:type="dxa" w:w="5112"/>
            <w:tcMar>
              <w:top w:w="90" w:type="dxa"/>
              <w:start w:w="100" w:type="dxa"/>
              <w:bottom w:w="90" w:type="dxa"/>
              <w:end w:w="100" w:type="dxa"/>
            </w:tcMar>
          </w:tcPr>
          <w:p>
            <w:pPr>
              <w:keepNext w:val="0"/>
            </w:pPr>
            <w:r>
              <w:rPr>
                <w:sz w:val="18"/>
              </w:rPr>
              <w:t>Students see strengths, phase evidence, findings, professional lenses, and provenance.</w:t>
            </w:r>
          </w:p>
        </w:tc>
        <w:tc>
          <w:tcPr>
            <w:tcW w:type="dxa" w:w="2520"/>
            <w:tcMar>
              <w:top w:w="90" w:type="dxa"/>
              <w:start w:w="100" w:type="dxa"/>
              <w:bottom w:w="90" w:type="dxa"/>
              <w:end w:w="100" w:type="dxa"/>
            </w:tcMar>
          </w:tcPr>
          <w:p>
            <w:pPr>
              <w:keepNext w:val="0"/>
            </w:pPr>
            <w:r>
              <w:rPr>
                <w:sz w:val="18"/>
              </w:rPr>
              <w:t>05 Student User Guide</w:t>
            </w:r>
          </w:p>
        </w:tc>
      </w:tr>
      <w:tr>
        <w:trPr>
          <w:cantSplit/>
        </w:trPr>
        <w:tc>
          <w:tcPr>
            <w:tcW w:type="dxa" w:w="2232"/>
            <w:tcMar>
              <w:top w:w="90" w:type="dxa"/>
              <w:start w:w="100" w:type="dxa"/>
              <w:bottom w:w="90" w:type="dxa"/>
              <w:end w:w="100" w:type="dxa"/>
            </w:tcMar>
          </w:tcPr>
          <w:p>
            <w:pPr>
              <w:keepNext w:val="0"/>
            </w:pPr>
            <w:r>
              <w:rPr>
                <w:sz w:val="18"/>
              </w:rPr>
              <w:t>Choose a review</w:t>
            </w:r>
          </w:p>
        </w:tc>
        <w:tc>
          <w:tcPr>
            <w:tcW w:type="dxa" w:w="5112"/>
            <w:tcMar>
              <w:top w:w="90" w:type="dxa"/>
              <w:start w:w="100" w:type="dxa"/>
              <w:bottom w:w="90" w:type="dxa"/>
              <w:end w:w="100" w:type="dxa"/>
            </w:tcMar>
          </w:tcPr>
          <w:p>
            <w:pPr>
              <w:keepNext w:val="0"/>
            </w:pPr>
            <w:r>
              <w:rPr>
                <w:sz w:val="18"/>
              </w:rPr>
              <w:t>Board Review lets the board choose the most valuable phase question; Focused Review lets the student choose the engineering subject; Review Findings works directly with existing findings.</w:t>
            </w:r>
          </w:p>
        </w:tc>
        <w:tc>
          <w:tcPr>
            <w:tcW w:type="dxa" w:w="2520"/>
            <w:tcMar>
              <w:top w:w="90" w:type="dxa"/>
              <w:start w:w="100" w:type="dxa"/>
              <w:bottom w:w="90" w:type="dxa"/>
              <w:end w:w="100" w:type="dxa"/>
            </w:tcMar>
          </w:tcPr>
          <w:p>
            <w:pPr>
              <w:keepNext w:val="0"/>
            </w:pPr>
            <w:r>
              <w:rPr>
                <w:sz w:val="18"/>
              </w:rPr>
              <w:t>05, 07</w:t>
            </w:r>
          </w:p>
        </w:tc>
      </w:tr>
      <w:tr>
        <w:trPr>
          <w:cantSplit/>
        </w:trPr>
        <w:tc>
          <w:tcPr>
            <w:tcW w:type="dxa" w:w="2232"/>
            <w:tcMar>
              <w:top w:w="90" w:type="dxa"/>
              <w:start w:w="100" w:type="dxa"/>
              <w:bottom w:w="90" w:type="dxa"/>
              <w:end w:w="100" w:type="dxa"/>
            </w:tcMar>
          </w:tcPr>
          <w:p>
            <w:pPr>
              <w:keepNext w:val="0"/>
            </w:pPr>
            <w:r>
              <w:rPr>
                <w:sz w:val="18"/>
              </w:rPr>
              <w:t>Work in the Review Room</w:t>
            </w:r>
          </w:p>
        </w:tc>
        <w:tc>
          <w:tcPr>
            <w:tcW w:type="dxa" w:w="5112"/>
            <w:tcMar>
              <w:top w:w="90" w:type="dxa"/>
              <w:start w:w="100" w:type="dxa"/>
              <w:bottom w:w="90" w:type="dxa"/>
              <w:end w:w="100" w:type="dxa"/>
            </w:tcMar>
          </w:tcPr>
          <w:p>
            <w:pPr>
              <w:keepNext w:val="0"/>
            </w:pPr>
            <w:r>
              <w:rPr>
                <w:sz w:val="18"/>
              </w:rPr>
              <w:t>The evidence snapshot freezes automatically. The student can ask, disagree, seek a nudge, challenge evidence, and form a recommendation.</w:t>
            </w:r>
          </w:p>
        </w:tc>
        <w:tc>
          <w:tcPr>
            <w:tcW w:type="dxa" w:w="2520"/>
            <w:tcMar>
              <w:top w:w="90" w:type="dxa"/>
              <w:start w:w="100" w:type="dxa"/>
              <w:bottom w:w="90" w:type="dxa"/>
              <w:end w:w="100" w:type="dxa"/>
            </w:tcMar>
          </w:tcPr>
          <w:p>
            <w:pPr>
              <w:keepNext w:val="0"/>
            </w:pPr>
            <w:r>
              <w:rPr>
                <w:sz w:val="18"/>
              </w:rPr>
              <w:t>05 Student User Guide</w:t>
            </w:r>
          </w:p>
        </w:tc>
      </w:tr>
      <w:tr>
        <w:trPr>
          <w:cantSplit/>
        </w:trPr>
        <w:tc>
          <w:tcPr>
            <w:tcW w:type="dxa" w:w="2232"/>
            <w:tcMar>
              <w:top w:w="90" w:type="dxa"/>
              <w:start w:w="100" w:type="dxa"/>
              <w:bottom w:w="90" w:type="dxa"/>
              <w:end w:w="100" w:type="dxa"/>
            </w:tcMar>
          </w:tcPr>
          <w:p>
            <w:pPr>
              <w:keepNext w:val="0"/>
            </w:pPr>
            <w:r>
              <w:rPr>
                <w:sz w:val="18"/>
              </w:rPr>
              <w:t>Revisit history</w:t>
            </w:r>
          </w:p>
        </w:tc>
        <w:tc>
          <w:tcPr>
            <w:tcW w:type="dxa" w:w="5112"/>
            <w:tcMar>
              <w:top w:w="90" w:type="dxa"/>
              <w:start w:w="100" w:type="dxa"/>
              <w:bottom w:w="90" w:type="dxa"/>
              <w:end w:w="100" w:type="dxa"/>
            </w:tcMar>
          </w:tcPr>
          <w:p>
            <w:pPr>
              <w:keepNext w:val="0"/>
            </w:pPr>
            <w:r>
              <w:rPr>
                <w:sz w:val="18"/>
              </w:rPr>
              <w:t>Review History preserves individual reasoning against the snapshot used at that time. GitHub remains authoritative for repository commit history.</w:t>
            </w:r>
          </w:p>
        </w:tc>
        <w:tc>
          <w:tcPr>
            <w:tcW w:type="dxa" w:w="2520"/>
            <w:tcMar>
              <w:top w:w="90" w:type="dxa"/>
              <w:start w:w="100" w:type="dxa"/>
              <w:bottom w:w="90" w:type="dxa"/>
              <w:end w:w="100" w:type="dxa"/>
            </w:tcMar>
          </w:tcPr>
          <w:p>
            <w:pPr>
              <w:keepNext w:val="0"/>
            </w:pPr>
            <w:r>
              <w:rPr>
                <w:sz w:val="18"/>
              </w:rPr>
              <w:t>05 Student User Guide</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STUDENT BOUNDARY</w:t>
              <w:br/>
            </w:r>
            <w:r>
              <w:rPr>
                <w:sz w:val="20"/>
              </w:rPr>
              <w:t>Team evidence and repository binding are shared; coaching conversations and learning state are individual. Starting a review freezes the evidence used for that session. New commits do not rewrite old reviews.</w:t>
            </w:r>
          </w:p>
        </w:tc>
      </w:tr>
    </w:tbl>
    <w:p>
      <w:pPr>
        <w:spacing w:after="20"/>
      </w:pPr>
    </w:p>
    <w:p>
      <w:pPr>
        <w:pStyle w:val="Heading2"/>
      </w:pPr>
      <w:r>
        <w:t>Current review and evidence workflow</w:t>
      </w:r>
    </w:p>
    <w:p>
      <w:r>
        <w:t>The Review Room is the conversation home. Engineering Evidence is the saved source notebook. Same-snapshot and newer-saved-snapshot notices explain their relationship; browsing newer saved evidence never changes an active review’s frozen baseline.</w:t>
      </w:r>
    </w:p>
    <w:p>
      <w:r>
        <w:t>Inspect cited source opens the attached frozen artifact. Find supporting evidence searches the frozen snapshot for equivalent evidence; it is bounded and not exhaustive. Discuss helps you understand, Challenge tests an interpretation, and Help me resolve this coaches next work. An absent source must not be replaced by a guessed file link.</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Button-triggered instructions are recorded as review actions, not as words the student wrote. Unsent drafts are preserved and remain private. Optional review context and other concerns stay secondary to the current concern and conversation.</w:t>
      </w:r>
    </w:p>
    <w:p>
      <w:r>
        <w:t>In Help, artifact, challenge and exit dialogs, Tab and Shift+Tab stay within the dialog, Escape dismisses through the existing close action, and focus returns to a usable opener. Escape does not finish a review. Closing a pending challenge does not cancel its submitted request.</w:t>
      </w:r>
    </w:p>
    <w:p>
      <w:pPr>
        <w:pStyle w:val="Heading1"/>
      </w:pPr>
      <w:r>
        <w:t>5. Studio from the instructor and course-owner perspective</w:t>
      </w:r>
    </w:p>
    <w:p>
      <w:r>
        <w:t>Teaching staff use Studio to understand engineering evidence and student reasoning without reducing the course to activity counts. The Instructor Command Center surfaces teams that may need attention, Team Detail connects people, repository state, evidence, and active reviews, and persisted review conversations can be inspected by authorized teaching staff.</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2232"/>
            <w:shd w:fill="122536"/>
            <w:tcMar>
              <w:top w:w="90" w:type="dxa"/>
              <w:start w:w="100" w:type="dxa"/>
              <w:bottom w:w="90" w:type="dxa"/>
              <w:end w:w="100" w:type="dxa"/>
            </w:tcMar>
          </w:tcPr>
          <w:p>
            <w:pPr>
              <w:keepNext w:val="0"/>
            </w:pPr>
            <w:r>
              <w:rPr>
                <w:b/>
                <w:color w:val="FFFFFF"/>
                <w:sz w:val="18"/>
              </w:rPr>
              <w:t>Instructor surface</w:t>
            </w:r>
          </w:p>
        </w:tc>
        <w:tc>
          <w:tcPr>
            <w:tcW w:type="dxa" w:w="4752"/>
            <w:shd w:fill="122536"/>
            <w:tcMar>
              <w:top w:w="90" w:type="dxa"/>
              <w:start w:w="100" w:type="dxa"/>
              <w:bottom w:w="90" w:type="dxa"/>
              <w:end w:w="100" w:type="dxa"/>
            </w:tcMar>
          </w:tcPr>
          <w:p>
            <w:pPr>
              <w:keepNext w:val="0"/>
            </w:pPr>
            <w:r>
              <w:rPr>
                <w:b/>
                <w:color w:val="FFFFFF"/>
                <w:sz w:val="18"/>
              </w:rPr>
              <w:t>Purpose</w:t>
            </w:r>
          </w:p>
        </w:tc>
        <w:tc>
          <w:tcPr>
            <w:tcW w:type="dxa" w:w="2880"/>
            <w:shd w:fill="122536"/>
            <w:tcMar>
              <w:top w:w="90" w:type="dxa"/>
              <w:start w:w="100" w:type="dxa"/>
              <w:bottom w:w="90" w:type="dxa"/>
              <w:end w:w="100" w:type="dxa"/>
            </w:tcMar>
          </w:tcPr>
          <w:p>
            <w:pPr>
              <w:keepNext w:val="0"/>
            </w:pPr>
            <w:r>
              <w:rPr>
                <w:b/>
                <w:color w:val="FFFFFF"/>
                <w:sz w:val="18"/>
              </w:rPr>
              <w:t>Boundary</w:t>
            </w:r>
          </w:p>
        </w:tc>
      </w:tr>
      <w:tr>
        <w:trPr>
          <w:cantSplit/>
        </w:trPr>
        <w:tc>
          <w:tcPr>
            <w:tcW w:type="dxa" w:w="2232"/>
            <w:tcMar>
              <w:top w:w="90" w:type="dxa"/>
              <w:start w:w="100" w:type="dxa"/>
              <w:bottom w:w="90" w:type="dxa"/>
              <w:end w:w="100" w:type="dxa"/>
            </w:tcMar>
          </w:tcPr>
          <w:p>
            <w:pPr>
              <w:keepNext w:val="0"/>
            </w:pPr>
            <w:r>
              <w:rPr>
                <w:sz w:val="18"/>
              </w:rPr>
              <w:t>Command Center</w:t>
            </w:r>
          </w:p>
        </w:tc>
        <w:tc>
          <w:tcPr>
            <w:tcW w:type="dxa" w:w="4752"/>
            <w:tcMar>
              <w:top w:w="90" w:type="dxa"/>
              <w:start w:w="100" w:type="dxa"/>
              <w:bottom w:w="90" w:type="dxa"/>
              <w:end w:w="100" w:type="dxa"/>
            </w:tcMar>
          </w:tcPr>
          <w:p>
            <w:pPr>
              <w:keepNext w:val="0"/>
            </w:pPr>
            <w:r>
              <w:rPr>
                <w:sz w:val="18"/>
              </w:rPr>
              <w:t>Class-level engineering intelligence, attention signals, active review context, AI economics.</w:t>
            </w:r>
          </w:p>
        </w:tc>
        <w:tc>
          <w:tcPr>
            <w:tcW w:type="dxa" w:w="2880"/>
            <w:tcMar>
              <w:top w:w="90" w:type="dxa"/>
              <w:start w:w="100" w:type="dxa"/>
              <w:bottom w:w="90" w:type="dxa"/>
              <w:end w:w="100" w:type="dxa"/>
            </w:tcMar>
          </w:tcPr>
          <w:p>
            <w:pPr>
              <w:keepNext w:val="0"/>
            </w:pPr>
            <w:r>
              <w:rPr>
                <w:sz w:val="18"/>
              </w:rPr>
              <w:t>Signals support judgment; they are not autonomous grades.</w:t>
            </w:r>
          </w:p>
        </w:tc>
      </w:tr>
      <w:tr>
        <w:trPr>
          <w:cantSplit/>
        </w:trPr>
        <w:tc>
          <w:tcPr>
            <w:tcW w:type="dxa" w:w="2232"/>
            <w:tcMar>
              <w:top w:w="90" w:type="dxa"/>
              <w:start w:w="100" w:type="dxa"/>
              <w:bottom w:w="90" w:type="dxa"/>
              <w:end w:w="100" w:type="dxa"/>
            </w:tcMar>
          </w:tcPr>
          <w:p>
            <w:pPr>
              <w:keepNext w:val="0"/>
            </w:pPr>
            <w:r>
              <w:rPr>
                <w:sz w:val="18"/>
              </w:rPr>
              <w:t>Teams / Team Detail</w:t>
            </w:r>
          </w:p>
        </w:tc>
        <w:tc>
          <w:tcPr>
            <w:tcW w:type="dxa" w:w="4752"/>
            <w:tcMar>
              <w:top w:w="90" w:type="dxa"/>
              <w:start w:w="100" w:type="dxa"/>
              <w:bottom w:w="90" w:type="dxa"/>
              <w:end w:w="100" w:type="dxa"/>
            </w:tcMar>
          </w:tcPr>
          <w:p>
            <w:pPr>
              <w:keepNext w:val="0"/>
            </w:pPr>
            <w:r>
              <w:rPr>
                <w:sz w:val="18"/>
              </w:rPr>
              <w:t>Inspect repository connection, team membership, evidence state, active reviews, and bounded recovery actions.</w:t>
            </w:r>
          </w:p>
        </w:tc>
        <w:tc>
          <w:tcPr>
            <w:tcW w:type="dxa" w:w="2880"/>
            <w:tcMar>
              <w:top w:w="90" w:type="dxa"/>
              <w:start w:w="100" w:type="dxa"/>
              <w:bottom w:w="90" w:type="dxa"/>
              <w:end w:w="100" w:type="dxa"/>
            </w:tcMar>
          </w:tcPr>
          <w:p>
            <w:pPr>
              <w:keepNext w:val="0"/>
            </w:pPr>
            <w:r>
              <w:rPr>
                <w:sz w:val="18"/>
              </w:rPr>
              <w:t>Do not rewrite student evidence or silently change trusted repository state.</w:t>
            </w:r>
          </w:p>
        </w:tc>
      </w:tr>
      <w:tr>
        <w:trPr>
          <w:cantSplit/>
        </w:trPr>
        <w:tc>
          <w:tcPr>
            <w:tcW w:type="dxa" w:w="2232"/>
            <w:tcMar>
              <w:top w:w="90" w:type="dxa"/>
              <w:start w:w="100" w:type="dxa"/>
              <w:bottom w:w="90" w:type="dxa"/>
              <w:end w:w="100" w:type="dxa"/>
            </w:tcMar>
          </w:tcPr>
          <w:p>
            <w:pPr>
              <w:keepNext w:val="0"/>
            </w:pPr>
            <w:r>
              <w:rPr>
                <w:sz w:val="18"/>
              </w:rPr>
              <w:t>Students</w:t>
            </w:r>
          </w:p>
        </w:tc>
        <w:tc>
          <w:tcPr>
            <w:tcW w:type="dxa" w:w="4752"/>
            <w:tcMar>
              <w:top w:w="90" w:type="dxa"/>
              <w:start w:w="100" w:type="dxa"/>
              <w:bottom w:w="90" w:type="dxa"/>
              <w:end w:w="100" w:type="dxa"/>
            </w:tcMar>
          </w:tcPr>
          <w:p>
            <w:pPr>
              <w:keepNext w:val="0"/>
            </w:pPr>
            <w:r>
              <w:rPr>
                <w:sz w:val="18"/>
              </w:rPr>
              <w:t>Add/reactivate/deactivate students and manage team membership while preserving history.</w:t>
            </w:r>
          </w:p>
        </w:tc>
        <w:tc>
          <w:tcPr>
            <w:tcW w:type="dxa" w:w="2880"/>
            <w:tcMar>
              <w:top w:w="90" w:type="dxa"/>
              <w:start w:w="100" w:type="dxa"/>
              <w:bottom w:w="90" w:type="dxa"/>
              <w:end w:w="100" w:type="dxa"/>
            </w:tcMar>
          </w:tcPr>
          <w:p>
            <w:pPr>
              <w:keepNext w:val="0"/>
            </w:pPr>
            <w:r>
              <w:rPr>
                <w:sz w:val="18"/>
              </w:rPr>
              <w:t>Role authorization controls who may mutate roster/team state.</w:t>
            </w:r>
          </w:p>
        </w:tc>
      </w:tr>
      <w:tr>
        <w:trPr>
          <w:cantSplit/>
        </w:trPr>
        <w:tc>
          <w:tcPr>
            <w:tcW w:type="dxa" w:w="2232"/>
            <w:tcMar>
              <w:top w:w="90" w:type="dxa"/>
              <w:start w:w="100" w:type="dxa"/>
              <w:bottom w:w="90" w:type="dxa"/>
              <w:end w:w="100" w:type="dxa"/>
            </w:tcMar>
          </w:tcPr>
          <w:p>
            <w:pPr>
              <w:keepNext w:val="0"/>
            </w:pPr>
            <w:r>
              <w:rPr>
                <w:sz w:val="18"/>
              </w:rPr>
              <w:t>Reviews</w:t>
            </w:r>
          </w:p>
        </w:tc>
        <w:tc>
          <w:tcPr>
            <w:tcW w:type="dxa" w:w="4752"/>
            <w:tcMar>
              <w:top w:w="90" w:type="dxa"/>
              <w:start w:w="100" w:type="dxa"/>
              <w:bottom w:w="90" w:type="dxa"/>
              <w:end w:w="100" w:type="dxa"/>
            </w:tcMar>
          </w:tcPr>
          <w:p>
            <w:pPr>
              <w:keepNext w:val="0"/>
            </w:pPr>
            <w:r>
              <w:rPr>
                <w:sz w:val="18"/>
              </w:rPr>
              <w:t>Inspect persisted student review turns and status.</w:t>
            </w:r>
          </w:p>
        </w:tc>
        <w:tc>
          <w:tcPr>
            <w:tcW w:type="dxa" w:w="2880"/>
            <w:tcMar>
              <w:top w:w="90" w:type="dxa"/>
              <w:start w:w="100" w:type="dxa"/>
              <w:bottom w:w="90" w:type="dxa"/>
              <w:end w:w="100" w:type="dxa"/>
            </w:tcMar>
          </w:tcPr>
          <w:p>
            <w:pPr>
              <w:keepNext w:val="0"/>
            </w:pPr>
            <w:r>
              <w:rPr>
                <w:sz w:val="18"/>
              </w:rPr>
              <w:t>Draft/unsent student text remains private; teaching staff do not impersonate students.</w:t>
            </w:r>
          </w:p>
        </w:tc>
      </w:tr>
      <w:tr>
        <w:trPr>
          <w:cantSplit/>
        </w:trPr>
        <w:tc>
          <w:tcPr>
            <w:tcW w:type="dxa" w:w="2232"/>
            <w:tcMar>
              <w:top w:w="90" w:type="dxa"/>
              <w:start w:w="100" w:type="dxa"/>
              <w:bottom w:w="90" w:type="dxa"/>
              <w:end w:w="100" w:type="dxa"/>
            </w:tcMar>
          </w:tcPr>
          <w:p>
            <w:pPr>
              <w:keepNext w:val="0"/>
            </w:pPr>
            <w:r>
              <w:rPr>
                <w:sz w:val="18"/>
              </w:rPr>
              <w:t>Engineering Evidence</w:t>
            </w:r>
          </w:p>
        </w:tc>
        <w:tc>
          <w:tcPr>
            <w:tcW w:type="dxa" w:w="4752"/>
            <w:tcMar>
              <w:top w:w="90" w:type="dxa"/>
              <w:start w:w="100" w:type="dxa"/>
              <w:bottom w:w="90" w:type="dxa"/>
              <w:end w:w="100" w:type="dxa"/>
            </w:tcMar>
          </w:tcPr>
          <w:p>
            <w:pPr>
              <w:keepNext w:val="0"/>
            </w:pPr>
            <w:r>
              <w:rPr>
                <w:sz w:val="18"/>
              </w:rPr>
              <w:t>Inspect FACT observations, REVIEW interpretations, provenance, disputes, and longitudinal change.</w:t>
            </w:r>
          </w:p>
        </w:tc>
        <w:tc>
          <w:tcPr>
            <w:tcW w:type="dxa" w:w="2880"/>
            <w:tcMar>
              <w:top w:w="90" w:type="dxa"/>
              <w:start w:w="100" w:type="dxa"/>
              <w:bottom w:w="90" w:type="dxa"/>
              <w:end w:w="100" w:type="dxa"/>
            </w:tcMar>
          </w:tcPr>
          <w:p>
            <w:pPr>
              <w:keepNext w:val="0"/>
            </w:pPr>
            <w:r>
              <w:rPr>
                <w:sz w:val="18"/>
              </w:rPr>
              <w:t>Findings are review interpretations, not immutable truth.</w:t>
            </w:r>
          </w:p>
        </w:tc>
      </w:tr>
      <w:tr>
        <w:trPr>
          <w:cantSplit/>
        </w:trPr>
        <w:tc>
          <w:tcPr>
            <w:tcW w:type="dxa" w:w="2232"/>
            <w:tcMar>
              <w:top w:w="90" w:type="dxa"/>
              <w:start w:w="100" w:type="dxa"/>
              <w:bottom w:w="90" w:type="dxa"/>
              <w:end w:w="100" w:type="dxa"/>
            </w:tcMar>
          </w:tcPr>
          <w:p>
            <w:pPr>
              <w:keepNext w:val="0"/>
            </w:pPr>
            <w:r>
              <w:rPr>
                <w:sz w:val="18"/>
              </w:rPr>
              <w:t>AI Usage &amp; Cost</w:t>
            </w:r>
          </w:p>
        </w:tc>
        <w:tc>
          <w:tcPr>
            <w:tcW w:type="dxa" w:w="4752"/>
            <w:tcMar>
              <w:top w:w="90" w:type="dxa"/>
              <w:start w:w="100" w:type="dxa"/>
              <w:bottom w:w="90" w:type="dxa"/>
              <w:end w:w="100" w:type="dxa"/>
            </w:tcMar>
          </w:tcPr>
          <w:p>
            <w:pPr>
              <w:keepNext w:val="0"/>
            </w:pPr>
            <w:r>
              <w:rPr>
                <w:sz w:val="18"/>
              </w:rPr>
              <w:t>Operational intelligence for model usage, latency, token volume, and estimated cost.</w:t>
            </w:r>
          </w:p>
        </w:tc>
        <w:tc>
          <w:tcPr>
            <w:tcW w:type="dxa" w:w="2880"/>
            <w:tcMar>
              <w:top w:w="90" w:type="dxa"/>
              <w:start w:w="100" w:type="dxa"/>
              <w:bottom w:w="90" w:type="dxa"/>
              <w:end w:w="100" w:type="dxa"/>
            </w:tcMar>
          </w:tcPr>
          <w:p>
            <w:pPr>
              <w:keepNext w:val="0"/>
            </w:pPr>
            <w:r>
              <w:rPr>
                <w:sz w:val="18"/>
              </w:rPr>
              <w:t>Not a student evaluation surface.</w:t>
            </w:r>
          </w:p>
        </w:tc>
      </w:tr>
      <w:tr>
        <w:trPr>
          <w:cantSplit/>
        </w:trPr>
        <w:tc>
          <w:tcPr>
            <w:tcW w:type="dxa" w:w="2232"/>
            <w:tcMar>
              <w:top w:w="90" w:type="dxa"/>
              <w:start w:w="100" w:type="dxa"/>
              <w:bottom w:w="90" w:type="dxa"/>
              <w:end w:w="100" w:type="dxa"/>
            </w:tcMar>
          </w:tcPr>
          <w:p>
            <w:pPr>
              <w:keepNext w:val="0"/>
            </w:pPr>
            <w:r>
              <w:rPr>
                <w:sz w:val="18"/>
              </w:rPr>
              <w:t>Semester Setup</w:t>
            </w:r>
          </w:p>
        </w:tc>
        <w:tc>
          <w:tcPr>
            <w:tcW w:type="dxa" w:w="4752"/>
            <w:tcMar>
              <w:top w:w="90" w:type="dxa"/>
              <w:start w:w="100" w:type="dxa"/>
              <w:bottom w:w="90" w:type="dxa"/>
              <w:end w:w="100" w:type="dxa"/>
            </w:tcMar>
          </w:tcPr>
          <w:p>
            <w:pPr>
              <w:keepNext w:val="0"/>
            </w:pPr>
            <w:r>
              <w:rPr>
                <w:sz w:val="18"/>
              </w:rPr>
              <w:t>Create terms/sections, import roster, create teams, control releases, assign staff, archive.</w:t>
            </w:r>
          </w:p>
        </w:tc>
        <w:tc>
          <w:tcPr>
            <w:tcW w:type="dxa" w:w="2880"/>
            <w:tcMar>
              <w:top w:w="90" w:type="dxa"/>
              <w:start w:w="100" w:type="dxa"/>
              <w:bottom w:w="90" w:type="dxa"/>
              <w:end w:w="100" w:type="dxa"/>
            </w:tcMar>
          </w:tcPr>
          <w:p>
            <w:pPr>
              <w:keepNext w:val="0"/>
            </w:pPr>
            <w:r>
              <w:rPr>
                <w:sz w:val="18"/>
              </w:rPr>
              <w:t>Restricted to course-administration authority.</w:t>
            </w:r>
          </w:p>
        </w:tc>
      </w:tr>
    </w:tbl>
    <w:p>
      <w:pPr>
        <w:spacing w:after="40"/>
      </w:pPr>
    </w:p>
    <w:p>
      <w:r>
        <w:t>Detailed reference: 04 - Instructor &amp; Course Owner Handbook. Administrative semester workflow: 10 - Semester Administration &amp; Course Operations Guide.</w:t>
      </w:r>
    </w:p>
    <w:p>
      <w:pPr>
        <w:pStyle w:val="Heading1"/>
      </w:pPr>
      <w:r>
        <w:t>6. Semester administration and course operations</w:t>
      </w:r>
    </w:p>
    <w:p>
      <w:r>
        <w:t>The semester lifecycle is an authorization and records boundary, not just a calendar convenience. A term in setup is administrative preparation. An active term supports normal student/team/review activity. An archived term is historical and read-only; it cannot grant current authorization.</w:t>
      </w:r>
    </w:p>
    <w:p>
      <w:pPr>
        <w:spacing w:after="60"/>
        <w:ind w:left="259" w:hanging="259"/>
      </w:pPr>
      <w:r>
        <w:rPr>
          <w:b/>
        </w:rPr>
        <w:t xml:space="preserve">1. </w:t>
      </w:r>
      <w:r>
        <w:t>Create the course term once and add the required section(s).</w:t>
      </w:r>
    </w:p>
    <w:p>
      <w:pPr>
        <w:spacing w:after="60"/>
        <w:ind w:left="259" w:hanging="259"/>
      </w:pPr>
      <w:r>
        <w:rPr>
          <w:b/>
        </w:rPr>
        <w:t xml:space="preserve">2. </w:t>
      </w:r>
      <w:r>
        <w:t>Import the roster and intentionally decide how to handle students missing from later imports.</w:t>
      </w:r>
    </w:p>
    <w:p>
      <w:pPr>
        <w:spacing w:after="60"/>
        <w:ind w:left="259" w:hanging="259"/>
      </w:pPr>
      <w:r>
        <w:rPr>
          <w:b/>
        </w:rPr>
        <w:t xml:space="preserve">3. </w:t>
      </w:r>
      <w:r>
        <w:t>Create teams and assign students; later moves preserve membership history.</w:t>
      </w:r>
    </w:p>
    <w:p>
      <w:pPr>
        <w:spacing w:after="60"/>
        <w:ind w:left="259" w:hanging="259"/>
      </w:pPr>
      <w:r>
        <w:rPr>
          <w:b/>
        </w:rPr>
        <w:t xml:space="preserve">4. </w:t>
      </w:r>
      <w:r>
        <w:t>Review A1–A6 availability, due, accept-until, and release behavior by section. Sakai remains the deadline authority.</w:t>
      </w:r>
    </w:p>
    <w:p>
      <w:pPr>
        <w:spacing w:after="60"/>
        <w:ind w:left="259" w:hanging="259"/>
      </w:pPr>
      <w:r>
        <w:rPr>
          <w:b/>
        </w:rPr>
        <w:t xml:space="preserve">5. </w:t>
      </w:r>
      <w:r>
        <w:t>Assign teaching staff using the minimum role necessary.</w:t>
      </w:r>
    </w:p>
    <w:p>
      <w:pPr>
        <w:spacing w:after="60"/>
        <w:ind w:left="259" w:hanging="259"/>
      </w:pPr>
      <w:r>
        <w:rPr>
          <w:b/>
        </w:rPr>
        <w:t xml:space="preserve">6. </w:t>
      </w:r>
      <w:r>
        <w:t>Activate only after roster, team, identity, repository, schedule, and staff checks are complete.</w:t>
      </w:r>
    </w:p>
    <w:p>
      <w:pPr>
        <w:spacing w:after="60"/>
        <w:ind w:left="259" w:hanging="259"/>
      </w:pPr>
      <w:r>
        <w:rPr>
          <w:b/>
        </w:rPr>
        <w:t xml:space="preserve">7. </w:t>
      </w:r>
      <w:r>
        <w:t>Operate the semester through adds, drops, team moves, repository recovery, schedule changes, and evidence/review monitoring.</w:t>
      </w:r>
    </w:p>
    <w:p>
      <w:pPr>
        <w:spacing w:after="60"/>
        <w:ind w:left="259" w:hanging="259"/>
      </w:pPr>
      <w:r>
        <w:rPr>
          <w:b/>
        </w:rPr>
        <w:t xml:space="preserve">8. </w:t>
      </w:r>
      <w:r>
        <w:t>Archive after the term ends. Archiving stops operational authority while preserving historical reviews, evidence snapshots, membership, findings, and usage records.</w:t>
      </w: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1F4E79"/>
                <w:sz w:val="18"/>
              </w:rPr>
              <w:t>DETAILED PROCEDURE</w:t>
              <w:br/>
            </w:r>
            <w:r>
              <w:rPr>
                <w:sz w:val="20"/>
              </w:rPr>
              <w:t>Use 10 - Semester Administration &amp; Course Operations Guide for semester setup, activation, mid-semester changes, and archive. Use 04 for the day-to-day teaching-staff experience.</w:t>
            </w:r>
          </w:p>
        </w:tc>
      </w:tr>
    </w:tbl>
    <w:p>
      <w:pPr>
        <w:spacing w:after="20"/>
      </w:pPr>
    </w:p>
    <w:p>
      <w:pPr>
        <w:pStyle w:val="Heading1"/>
      </w:pPr>
      <w:r>
        <w:t>7. Installation, architecture, and technical administration</w:t>
      </w:r>
    </w:p>
    <w:p>
      <w:r>
        <w:t>The reference deployment is production-engineered rather than a classroom-only prototype. The installation path spans institutional identity, GitHub integration, CI/CD, Azure infrastructure, PostgreSQL, Key Vault, DNS/TLS, observability, backup/recovery, and course provisioning.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944"/>
            <w:shd w:fill="122536"/>
            <w:tcMar>
              <w:top w:w="90" w:type="dxa"/>
              <w:start w:w="100" w:type="dxa"/>
              <w:bottom w:w="90" w:type="dxa"/>
              <w:end w:w="100" w:type="dxa"/>
            </w:tcMar>
          </w:tcPr>
          <w:p>
            <w:pPr>
              <w:keepNext w:val="0"/>
            </w:pPr>
            <w:r>
              <w:rPr>
                <w:b/>
                <w:color w:val="FFFFFF"/>
                <w:sz w:val="18"/>
              </w:rPr>
              <w:t>Layer</w:t>
            </w:r>
          </w:p>
        </w:tc>
        <w:tc>
          <w:tcPr>
            <w:tcW w:type="dxa" w:w="5112"/>
            <w:shd w:fill="122536"/>
            <w:tcMar>
              <w:top w:w="90" w:type="dxa"/>
              <w:start w:w="100" w:type="dxa"/>
              <w:bottom w:w="90" w:type="dxa"/>
              <w:end w:w="100" w:type="dxa"/>
            </w:tcMar>
          </w:tcPr>
          <w:p>
            <w:pPr>
              <w:keepNext w:val="0"/>
            </w:pPr>
            <w:r>
              <w:rPr>
                <w:b/>
                <w:color w:val="FFFFFF"/>
                <w:sz w:val="18"/>
              </w:rPr>
              <w:t>Reference implementation</w:t>
            </w:r>
          </w:p>
        </w:tc>
        <w:tc>
          <w:tcPr>
            <w:tcW w:type="dxa" w:w="2808"/>
            <w:shd w:fill="122536"/>
            <w:tcMar>
              <w:top w:w="90" w:type="dxa"/>
              <w:start w:w="100" w:type="dxa"/>
              <w:bottom w:w="90" w:type="dxa"/>
              <w:end w:w="100" w:type="dxa"/>
            </w:tcMar>
          </w:tcPr>
          <w:p>
            <w:pPr>
              <w:keepNext w:val="0"/>
            </w:pPr>
            <w:r>
              <w:rPr>
                <w:b/>
                <w:color w:val="FFFFFF"/>
                <w:sz w:val="18"/>
              </w:rPr>
              <w:t>Primary document</w:t>
            </w:r>
          </w:p>
        </w:tc>
      </w:tr>
      <w:tr>
        <w:trPr>
          <w:cantSplit/>
        </w:trPr>
        <w:tc>
          <w:tcPr>
            <w:tcW w:type="dxa" w:w="1944"/>
            <w:tcMar>
              <w:top w:w="90" w:type="dxa"/>
              <w:start w:w="100" w:type="dxa"/>
              <w:bottom w:w="90" w:type="dxa"/>
              <w:end w:w="100" w:type="dxa"/>
            </w:tcMar>
          </w:tcPr>
          <w:p>
            <w:pPr>
              <w:keepNext w:val="0"/>
            </w:pPr>
            <w:r>
              <w:rPr>
                <w:sz w:val="18"/>
              </w:rPr>
              <w:t>Human identity</w:t>
            </w:r>
          </w:p>
        </w:tc>
        <w:tc>
          <w:tcPr>
            <w:tcW w:type="dxa" w:w="5112"/>
            <w:tcMar>
              <w:top w:w="90" w:type="dxa"/>
              <w:start w:w="100" w:type="dxa"/>
              <w:bottom w:w="90" w:type="dxa"/>
              <w:end w:w="100" w:type="dxa"/>
            </w:tcMar>
          </w:tcPr>
          <w:p>
            <w:pPr>
              <w:keepNext w:val="0"/>
            </w:pPr>
            <w:r>
              <w:rPr>
                <w:sz w:val="18"/>
              </w:rPr>
              <w:t>Microsoft Entra / Loyola SSO; authorization remains course/section scoped.</w:t>
            </w:r>
          </w:p>
        </w:tc>
        <w:tc>
          <w:tcPr>
            <w:tcW w:type="dxa" w:w="2808"/>
            <w:tcMar>
              <w:top w:w="90" w:type="dxa"/>
              <w:start w:w="100" w:type="dxa"/>
              <w:bottom w:w="90" w:type="dxa"/>
              <w:end w:w="100" w:type="dxa"/>
            </w:tcMar>
          </w:tcPr>
          <w:p>
            <w:pPr>
              <w:keepNext w:val="0"/>
            </w:pPr>
            <w:r>
              <w:rPr>
                <w:sz w:val="18"/>
              </w:rPr>
              <w:t>02 Installation &amp; Administration</w:t>
            </w:r>
          </w:p>
        </w:tc>
      </w:tr>
      <w:tr>
        <w:trPr>
          <w:cantSplit/>
        </w:trPr>
        <w:tc>
          <w:tcPr>
            <w:tcW w:type="dxa" w:w="1944"/>
            <w:tcMar>
              <w:top w:w="90" w:type="dxa"/>
              <w:start w:w="100" w:type="dxa"/>
              <w:bottom w:w="90" w:type="dxa"/>
              <w:end w:w="100" w:type="dxa"/>
            </w:tcMar>
          </w:tcPr>
          <w:p>
            <w:pPr>
              <w:keepNext w:val="0"/>
            </w:pPr>
            <w:r>
              <w:rPr>
                <w:sz w:val="18"/>
              </w:rPr>
              <w:t>GitHub identity</w:t>
            </w:r>
          </w:p>
        </w:tc>
        <w:tc>
          <w:tcPr>
            <w:tcW w:type="dxa" w:w="5112"/>
            <w:tcMar>
              <w:top w:w="90" w:type="dxa"/>
              <w:start w:w="100" w:type="dxa"/>
              <w:bottom w:w="90" w:type="dxa"/>
              <w:end w:w="100" w:type="dxa"/>
            </w:tcMar>
          </w:tcPr>
          <w:p>
            <w:pPr>
              <w:keepNext w:val="0"/>
            </w:pPr>
            <w:r>
              <w:rPr>
                <w:sz w:val="18"/>
              </w:rPr>
              <w:t>OAuth links the student’s GitHub identity; repository reading uses the GitHub App.</w:t>
            </w:r>
          </w:p>
        </w:tc>
        <w:tc>
          <w:tcPr>
            <w:tcW w:type="dxa" w:w="2808"/>
            <w:tcMar>
              <w:top w:w="90" w:type="dxa"/>
              <w:start w:w="100" w:type="dxa"/>
              <w:bottom w:w="90" w:type="dxa"/>
              <w:end w:w="100" w:type="dxa"/>
            </w:tcMar>
          </w:tcPr>
          <w:p>
            <w:pPr>
              <w:keepNext w:val="0"/>
            </w:pPr>
            <w:r>
              <w:rPr>
                <w:sz w:val="18"/>
              </w:rPr>
              <w:t>02, 03</w:t>
            </w:r>
          </w:p>
        </w:tc>
      </w:tr>
      <w:tr>
        <w:trPr>
          <w:cantSplit/>
        </w:trPr>
        <w:tc>
          <w:tcPr>
            <w:tcW w:type="dxa" w:w="1944"/>
            <w:tcMar>
              <w:top w:w="90" w:type="dxa"/>
              <w:start w:w="100" w:type="dxa"/>
              <w:bottom w:w="90" w:type="dxa"/>
              <w:end w:w="100" w:type="dxa"/>
            </w:tcMar>
          </w:tcPr>
          <w:p>
            <w:pPr>
              <w:keepNext w:val="0"/>
            </w:pPr>
            <w:r>
              <w:rPr>
                <w:sz w:val="18"/>
              </w:rPr>
              <w:t>Repository evidence access</w:t>
            </w:r>
          </w:p>
        </w:tc>
        <w:tc>
          <w:tcPr>
            <w:tcW w:type="dxa" w:w="5112"/>
            <w:tcMar>
              <w:top w:w="90" w:type="dxa"/>
              <w:start w:w="100" w:type="dxa"/>
              <w:bottom w:w="90" w:type="dxa"/>
              <w:end w:w="100" w:type="dxa"/>
            </w:tcMar>
          </w:tcPr>
          <w:p>
            <w:pPr>
              <w:keepNext w:val="0"/>
            </w:pPr>
            <w:r>
              <w:rPr>
                <w:sz w:val="18"/>
              </w:rPr>
              <w:t>Selected-repository GitHub App scope; exact repository verification; fail closed on broad scope.</w:t>
            </w:r>
          </w:p>
        </w:tc>
        <w:tc>
          <w:tcPr>
            <w:tcW w:type="dxa" w:w="2808"/>
            <w:tcMar>
              <w:top w:w="90" w:type="dxa"/>
              <w:start w:w="100" w:type="dxa"/>
              <w:bottom w:w="90" w:type="dxa"/>
              <w:end w:w="100" w:type="dxa"/>
            </w:tcMar>
          </w:tcPr>
          <w:p>
            <w:pPr>
              <w:keepNext w:val="0"/>
            </w:pPr>
            <w:r>
              <w:rPr>
                <w:sz w:val="18"/>
              </w:rPr>
              <w:t>02, 03</w:t>
            </w:r>
          </w:p>
        </w:tc>
      </w:tr>
      <w:tr>
        <w:trPr>
          <w:cantSplit/>
        </w:trPr>
        <w:tc>
          <w:tcPr>
            <w:tcW w:type="dxa" w:w="1944"/>
            <w:tcMar>
              <w:top w:w="90" w:type="dxa"/>
              <w:start w:w="100" w:type="dxa"/>
              <w:bottom w:w="90" w:type="dxa"/>
              <w:end w:w="100" w:type="dxa"/>
            </w:tcMar>
          </w:tcPr>
          <w:p>
            <w:pPr>
              <w:keepNext w:val="0"/>
            </w:pPr>
            <w:r>
              <w:rPr>
                <w:sz w:val="18"/>
              </w:rPr>
              <w:t>Application runtime</w:t>
            </w:r>
          </w:p>
        </w:tc>
        <w:tc>
          <w:tcPr>
            <w:tcW w:type="dxa" w:w="5112"/>
            <w:tcMar>
              <w:top w:w="90" w:type="dxa"/>
              <w:start w:w="100" w:type="dxa"/>
              <w:bottom w:w="90" w:type="dxa"/>
              <w:end w:w="100" w:type="dxa"/>
            </w:tcMar>
          </w:tcPr>
          <w:p>
            <w:pPr>
              <w:keepNext w:val="0"/>
            </w:pPr>
            <w:r>
              <w:rPr>
                <w:sz w:val="18"/>
              </w:rPr>
              <w:t>Azure Container Apps; revision mode Single; accepted min/max replica baseline 1 / 5.</w:t>
            </w:r>
          </w:p>
        </w:tc>
        <w:tc>
          <w:tcPr>
            <w:tcW w:type="dxa" w:w="2808"/>
            <w:tcMar>
              <w:top w:w="90" w:type="dxa"/>
              <w:start w:w="100" w:type="dxa"/>
              <w:bottom w:w="90" w:type="dxa"/>
              <w:end w:w="100" w:type="dxa"/>
            </w:tcMar>
          </w:tcPr>
          <w:p>
            <w:pPr>
              <w:keepNext w:val="0"/>
            </w:pPr>
            <w:r>
              <w:rPr>
                <w:sz w:val="18"/>
              </w:rPr>
              <w:t>02, 03, 08</w:t>
            </w:r>
          </w:p>
        </w:tc>
      </w:tr>
      <w:tr>
        <w:trPr>
          <w:cantSplit/>
        </w:trPr>
        <w:tc>
          <w:tcPr>
            <w:tcW w:type="dxa" w:w="1944"/>
            <w:tcMar>
              <w:top w:w="90" w:type="dxa"/>
              <w:start w:w="100" w:type="dxa"/>
              <w:bottom w:w="90" w:type="dxa"/>
              <w:end w:w="100" w:type="dxa"/>
            </w:tcMar>
          </w:tcPr>
          <w:p>
            <w:pPr>
              <w:keepNext w:val="0"/>
            </w:pPr>
            <w:r>
              <w:rPr>
                <w:sz w:val="18"/>
              </w:rPr>
              <w:t>Persistence</w:t>
            </w:r>
          </w:p>
        </w:tc>
        <w:tc>
          <w:tcPr>
            <w:tcW w:type="dxa" w:w="5112"/>
            <w:tcMar>
              <w:top w:w="90" w:type="dxa"/>
              <w:start w:w="100" w:type="dxa"/>
              <w:bottom w:w="90" w:type="dxa"/>
              <w:end w:w="100" w:type="dxa"/>
            </w:tcMar>
          </w:tcPr>
          <w:p>
            <w:pPr>
              <w:keepNext w:val="0"/>
            </w:pPr>
            <w:r>
              <w:rPr>
                <w:sz w:val="18"/>
              </w:rPr>
              <w:t>Azure Database for PostgreSQL Flexible Server with Alembic-managed schema lifecycle.</w:t>
            </w:r>
          </w:p>
        </w:tc>
        <w:tc>
          <w:tcPr>
            <w:tcW w:type="dxa" w:w="2808"/>
            <w:tcMar>
              <w:top w:w="90" w:type="dxa"/>
              <w:start w:w="100" w:type="dxa"/>
              <w:bottom w:w="90" w:type="dxa"/>
              <w:end w:w="100" w:type="dxa"/>
            </w:tcMar>
          </w:tcPr>
          <w:p>
            <w:pPr>
              <w:keepNext w:val="0"/>
            </w:pPr>
            <w:r>
              <w:rPr>
                <w:sz w:val="18"/>
              </w:rPr>
              <w:t>02, 03, 11</w:t>
            </w:r>
          </w:p>
        </w:tc>
      </w:tr>
      <w:tr>
        <w:trPr>
          <w:cantSplit/>
        </w:trPr>
        <w:tc>
          <w:tcPr>
            <w:tcW w:type="dxa" w:w="1944"/>
            <w:tcMar>
              <w:top w:w="90" w:type="dxa"/>
              <w:start w:w="100" w:type="dxa"/>
              <w:bottom w:w="90" w:type="dxa"/>
              <w:end w:w="100" w:type="dxa"/>
            </w:tcMar>
          </w:tcPr>
          <w:p>
            <w:pPr>
              <w:keepNext w:val="0"/>
            </w:pPr>
            <w:r>
              <w:rPr>
                <w:sz w:val="18"/>
              </w:rPr>
              <w:t>Secrets</w:t>
            </w:r>
          </w:p>
        </w:tc>
        <w:tc>
          <w:tcPr>
            <w:tcW w:type="dxa" w:w="5112"/>
            <w:tcMar>
              <w:top w:w="90" w:type="dxa"/>
              <w:start w:w="100" w:type="dxa"/>
              <w:bottom w:w="90" w:type="dxa"/>
              <w:end w:w="100" w:type="dxa"/>
            </w:tcMar>
          </w:tcPr>
          <w:p>
            <w:pPr>
              <w:keepNext w:val="0"/>
            </w:pPr>
            <w:r>
              <w:rPr>
                <w:sz w:val="18"/>
              </w:rPr>
              <w:t>Azure Key Vault / managed identity where applicable; deployment secrets in protected GitHub environment.</w:t>
            </w:r>
          </w:p>
        </w:tc>
        <w:tc>
          <w:tcPr>
            <w:tcW w:type="dxa" w:w="2808"/>
            <w:tcMar>
              <w:top w:w="90" w:type="dxa"/>
              <w:start w:w="100" w:type="dxa"/>
              <w:bottom w:w="90" w:type="dxa"/>
              <w:end w:w="100" w:type="dxa"/>
            </w:tcMar>
          </w:tcPr>
          <w:p>
            <w:pPr>
              <w:keepNext w:val="0"/>
            </w:pPr>
            <w:r>
              <w:rPr>
                <w:sz w:val="18"/>
              </w:rPr>
              <w:t>02, 03</w:t>
            </w:r>
          </w:p>
        </w:tc>
      </w:tr>
      <w:tr>
        <w:trPr>
          <w:cantSplit/>
        </w:trPr>
        <w:tc>
          <w:tcPr>
            <w:tcW w:type="dxa" w:w="1944"/>
            <w:tcMar>
              <w:top w:w="90" w:type="dxa"/>
              <w:start w:w="100" w:type="dxa"/>
              <w:bottom w:w="90" w:type="dxa"/>
              <w:end w:w="100" w:type="dxa"/>
            </w:tcMar>
          </w:tcPr>
          <w:p>
            <w:pPr>
              <w:keepNext w:val="0"/>
            </w:pPr>
            <w:r>
              <w:rPr>
                <w:sz w:val="18"/>
              </w:rPr>
              <w:t>Deployment</w:t>
            </w:r>
          </w:p>
        </w:tc>
        <w:tc>
          <w:tcPr>
            <w:tcW w:type="dxa" w:w="5112"/>
            <w:tcMar>
              <w:top w:w="90" w:type="dxa"/>
              <w:start w:w="100" w:type="dxa"/>
              <w:bottom w:w="90" w:type="dxa"/>
              <w:end w:w="100" w:type="dxa"/>
            </w:tcMar>
          </w:tcPr>
          <w:p>
            <w:pPr>
              <w:keepNext w:val="0"/>
            </w:pPr>
            <w:r>
              <w:rPr>
                <w:sz w:val="18"/>
              </w:rPr>
              <w:t>Protected branch → PR → CI → merge → GitHub Deploy Azure workflow → post-deployment acceptance.</w:t>
            </w:r>
          </w:p>
        </w:tc>
        <w:tc>
          <w:tcPr>
            <w:tcW w:type="dxa" w:w="2808"/>
            <w:tcMar>
              <w:top w:w="90" w:type="dxa"/>
              <w:start w:w="100" w:type="dxa"/>
              <w:bottom w:w="90" w:type="dxa"/>
              <w:end w:w="100" w:type="dxa"/>
            </w:tcMar>
          </w:tcPr>
          <w:p>
            <w:pPr>
              <w:keepNext w:val="0"/>
            </w:pPr>
            <w:r>
              <w:rPr>
                <w:sz w:val="18"/>
              </w:rPr>
              <w:t>02, 08, 09</w:t>
            </w:r>
          </w:p>
        </w:tc>
      </w:tr>
      <w:tr>
        <w:trPr>
          <w:cantSplit/>
        </w:trPr>
        <w:tc>
          <w:tcPr>
            <w:tcW w:type="dxa" w:w="1944"/>
            <w:tcMar>
              <w:top w:w="90" w:type="dxa"/>
              <w:start w:w="100" w:type="dxa"/>
              <w:bottom w:w="90" w:type="dxa"/>
              <w:end w:w="100" w:type="dxa"/>
            </w:tcMar>
          </w:tcPr>
          <w:p>
            <w:pPr>
              <w:keepNext w:val="0"/>
            </w:pPr>
            <w:r>
              <w:rPr>
                <w:sz w:val="18"/>
              </w:rPr>
              <w:t>Observability</w:t>
            </w:r>
          </w:p>
        </w:tc>
        <w:tc>
          <w:tcPr>
            <w:tcW w:type="dxa" w:w="5112"/>
            <w:tcMar>
              <w:top w:w="90" w:type="dxa"/>
              <w:start w:w="100" w:type="dxa"/>
              <w:bottom w:w="90" w:type="dxa"/>
              <w:end w:w="100" w:type="dxa"/>
            </w:tcMar>
          </w:tcPr>
          <w:p>
            <w:pPr>
              <w:keepNext w:val="0"/>
            </w:pPr>
            <w:r>
              <w:rPr>
                <w:sz w:val="18"/>
              </w:rPr>
              <w:t>Application Insights, Log Analytics, Azure Monitor alerts, CLI health/status/log/drift checks.</w:t>
            </w:r>
          </w:p>
        </w:tc>
        <w:tc>
          <w:tcPr>
            <w:tcW w:type="dxa" w:w="2808"/>
            <w:tcMar>
              <w:top w:w="90" w:type="dxa"/>
              <w:start w:w="100" w:type="dxa"/>
              <w:bottom w:w="90" w:type="dxa"/>
              <w:end w:w="100" w:type="dxa"/>
            </w:tcMar>
          </w:tcPr>
          <w:p>
            <w:pPr>
              <w:keepNext w:val="0"/>
            </w:pPr>
            <w:r>
              <w:rPr>
                <w:sz w:val="18"/>
              </w:rPr>
              <w:t>08, 09</w:t>
            </w:r>
          </w:p>
        </w:tc>
      </w:tr>
    </w:tbl>
    <w:p>
      <w:pPr>
        <w:spacing w:after="40"/>
      </w:pPr>
    </w:p>
    <w:p>
      <w:r>
        <w:t>A first-time installer should begin with 02 - Installation &amp; Administration Guide and use 03 - Architecture &amp; Detailed Design alongside it whenever a step crosses a trust, evidence, authorization, or failure boundary.</w:t>
      </w:r>
    </w:p>
    <w:p>
      <w:pPr>
        <w:pStyle w:val="Heading1"/>
      </w:pPr>
      <w:r>
        <w:t>8. Production operations and the Azure Operations CLI</w:t>
      </w:r>
    </w:p>
    <w:p>
      <w:pPr>
        <w:keepNext/>
        <w:jc w:val="center"/>
      </w:pPr>
      <w:r>
        <w:drawing>
          <wp:inline xmlns:a="http://schemas.openxmlformats.org/drawingml/2006/main" xmlns:pic="http://schemas.openxmlformats.org/drawingml/2006/picture">
            <wp:extent cx="6080760" cy="2382416"/>
            <wp:docPr id="4" name="Picture 4" descr="Figure 4. Production responsibility stack. Installation establishes the system; operations and recovery preserve it over time." title="Figure 4"/>
            <wp:cNvGraphicFramePr>
              <a:graphicFrameLocks noChangeAspect="1"/>
            </wp:cNvGraphicFramePr>
            <a:graphic>
              <a:graphicData uri="http://schemas.openxmlformats.org/drawingml/2006/picture">
                <pic:pic>
                  <pic:nvPicPr>
                    <pic:cNvPr id="0" name="fig05_production_stack.png"/>
                    <pic:cNvPicPr/>
                  </pic:nvPicPr>
                  <pic:blipFill>
                    <a:blip r:embed="rId14"/>
                    <a:stretch>
                      <a:fillRect/>
                    </a:stretch>
                  </pic:blipFill>
                  <pic:spPr>
                    <a:xfrm>
                      <a:off x="0" y="0"/>
                      <a:ext cx="6080760" cy="2382416"/>
                    </a:xfrm>
                    <a:prstGeom prst="rect"/>
                  </pic:spPr>
                </pic:pic>
              </a:graphicData>
            </a:graphic>
          </wp:inline>
        </w:drawing>
      </w:r>
    </w:p>
    <w:p>
      <w:pPr>
        <w:pStyle w:val="ETISCaption"/>
        <w:keepNext w:val="0"/>
        <w:keepLines/>
        <w:jc w:val="center"/>
      </w:pPr>
      <w:r>
        <w:t>Figure 4. Production responsibility stack. Installation establishes the system; operations and recovery preserve it over time.</w:t>
      </w:r>
      <w:r>
        <w:t xml:space="preserve"> Historical reference figure; current text governs.</w:t>
      </w:r>
    </w:p>
    <w:p>
      <w:r>
        <w:t>The operator-facing CLI is the preferred routine interface for production inspection and acceptance. It intentionally does not provide a deployment command. Deployment remains controlled through repository governance and the GitHub workflow.</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1800"/>
            <w:shd w:fill="122536"/>
            <w:tcMar>
              <w:top w:w="90" w:type="dxa"/>
              <w:start w:w="100" w:type="dxa"/>
              <w:bottom w:w="90" w:type="dxa"/>
              <w:end w:w="100" w:type="dxa"/>
            </w:tcMar>
          </w:tcPr>
          <w:p>
            <w:pPr>
              <w:keepNext w:val="0"/>
            </w:pPr>
            <w:r>
              <w:rPr>
                <w:b/>
                <w:color w:val="FFFFFF"/>
                <w:sz w:val="18"/>
              </w:rPr>
              <w:t>Command</w:t>
            </w:r>
          </w:p>
        </w:tc>
        <w:tc>
          <w:tcPr>
            <w:tcW w:type="dxa" w:w="7992"/>
            <w:shd w:fill="122536"/>
            <w:tcMar>
              <w:top w:w="90" w:type="dxa"/>
              <w:start w:w="100" w:type="dxa"/>
              <w:bottom w:w="90" w:type="dxa"/>
              <w:end w:w="100" w:type="dxa"/>
            </w:tcMar>
          </w:tcPr>
          <w:p>
            <w:pPr>
              <w:keepNext w:val="0"/>
            </w:pPr>
            <w:r>
              <w:rPr>
                <w:b/>
                <w:color w:val="FFFFFF"/>
                <w:sz w:val="18"/>
              </w:rPr>
              <w:t>Question it answers</w:t>
            </w:r>
          </w:p>
        </w:tc>
      </w:tr>
      <w:tr>
        <w:trPr>
          <w:cantSplit/>
        </w:trPr>
        <w:tc>
          <w:tcPr>
            <w:tcW w:type="dxa" w:w="1800"/>
            <w:tcMar>
              <w:top w:w="90" w:type="dxa"/>
              <w:start w:w="100" w:type="dxa"/>
              <w:bottom w:w="90" w:type="dxa"/>
              <w:end w:w="100" w:type="dxa"/>
            </w:tcMar>
          </w:tcPr>
          <w:p>
            <w:pPr>
              <w:keepNext w:val="0"/>
            </w:pPr>
            <w:r>
              <w:rPr>
                <w:sz w:val="18"/>
              </w:rPr>
              <w:t>doctor</w:t>
            </w:r>
          </w:p>
        </w:tc>
        <w:tc>
          <w:tcPr>
            <w:tcW w:type="dxa" w:w="7992"/>
            <w:tcMar>
              <w:top w:w="90" w:type="dxa"/>
              <w:start w:w="100" w:type="dxa"/>
              <w:bottom w:w="90" w:type="dxa"/>
              <w:end w:w="100" w:type="dxa"/>
            </w:tcMar>
          </w:tcPr>
          <w:p>
            <w:pPr>
              <w:keepNext w:val="0"/>
            </w:pPr>
            <w:r>
              <w:rPr>
                <w:sz w:val="18"/>
              </w:rPr>
              <w:t>Is this workstation and Azure access ready for operations?</w:t>
            </w:r>
          </w:p>
        </w:tc>
      </w:tr>
      <w:tr>
        <w:trPr>
          <w:cantSplit/>
        </w:trPr>
        <w:tc>
          <w:tcPr>
            <w:tcW w:type="dxa" w:w="1800"/>
            <w:tcMar>
              <w:top w:w="90" w:type="dxa"/>
              <w:start w:w="100" w:type="dxa"/>
              <w:bottom w:w="90" w:type="dxa"/>
              <w:end w:w="100" w:type="dxa"/>
            </w:tcMar>
          </w:tcPr>
          <w:p>
            <w:pPr>
              <w:keepNext w:val="0"/>
            </w:pPr>
            <w:r>
              <w:rPr>
                <w:sz w:val="18"/>
              </w:rPr>
              <w:t>status</w:t>
            </w:r>
          </w:p>
        </w:tc>
        <w:tc>
          <w:tcPr>
            <w:tcW w:type="dxa" w:w="7992"/>
            <w:tcMar>
              <w:top w:w="90" w:type="dxa"/>
              <w:start w:w="100" w:type="dxa"/>
              <w:bottom w:w="90" w:type="dxa"/>
              <w:end w:w="100" w:type="dxa"/>
            </w:tcMar>
          </w:tcPr>
          <w:p>
            <w:pPr>
              <w:keepNext w:val="0"/>
            </w:pPr>
            <w:r>
              <w:rPr>
                <w:sz w:val="18"/>
              </w:rPr>
              <w:t>Is production in the expected operating state?</w:t>
            </w:r>
          </w:p>
        </w:tc>
      </w:tr>
      <w:tr>
        <w:trPr>
          <w:cantSplit/>
        </w:trPr>
        <w:tc>
          <w:tcPr>
            <w:tcW w:type="dxa" w:w="1800"/>
            <w:tcMar>
              <w:top w:w="90" w:type="dxa"/>
              <w:start w:w="100" w:type="dxa"/>
              <w:bottom w:w="90" w:type="dxa"/>
              <w:end w:w="100" w:type="dxa"/>
            </w:tcMar>
          </w:tcPr>
          <w:p>
            <w:pPr>
              <w:keepNext w:val="0"/>
            </w:pPr>
            <w:r>
              <w:rPr>
                <w:sz w:val="18"/>
              </w:rPr>
              <w:t>config</w:t>
            </w:r>
          </w:p>
        </w:tc>
        <w:tc>
          <w:tcPr>
            <w:tcW w:type="dxa" w:w="7992"/>
            <w:tcMar>
              <w:top w:w="90" w:type="dxa"/>
              <w:start w:w="100" w:type="dxa"/>
              <w:bottom w:w="90" w:type="dxa"/>
              <w:end w:w="100" w:type="dxa"/>
            </w:tcMar>
          </w:tcPr>
          <w:p>
            <w:pPr>
              <w:keepNext w:val="0"/>
            </w:pPr>
            <w:r>
              <w:rPr>
                <w:sz w:val="18"/>
              </w:rPr>
              <w:t>What important non-secret configuration is live?</w:t>
            </w:r>
          </w:p>
        </w:tc>
      </w:tr>
      <w:tr>
        <w:trPr>
          <w:cantSplit/>
        </w:trPr>
        <w:tc>
          <w:tcPr>
            <w:tcW w:type="dxa" w:w="1800"/>
            <w:tcMar>
              <w:top w:w="90" w:type="dxa"/>
              <w:start w:w="100" w:type="dxa"/>
              <w:bottom w:w="90" w:type="dxa"/>
              <w:end w:w="100" w:type="dxa"/>
            </w:tcMar>
          </w:tcPr>
          <w:p>
            <w:pPr>
              <w:keepNext w:val="0"/>
            </w:pPr>
            <w:r>
              <w:rPr>
                <w:sz w:val="18"/>
              </w:rPr>
              <w:t>health</w:t>
            </w:r>
          </w:p>
        </w:tc>
        <w:tc>
          <w:tcPr>
            <w:tcW w:type="dxa" w:w="7992"/>
            <w:tcMar>
              <w:top w:w="90" w:type="dxa"/>
              <w:start w:w="100" w:type="dxa"/>
              <w:bottom w:w="90" w:type="dxa"/>
              <w:end w:w="100" w:type="dxa"/>
            </w:tcMar>
          </w:tcPr>
          <w:p>
            <w:pPr>
              <w:keepNext w:val="0"/>
            </w:pPr>
            <w:r>
              <w:rPr>
                <w:sz w:val="18"/>
              </w:rPr>
              <w:t>Are public health/readiness endpoints healthy and responsive?</w:t>
            </w:r>
          </w:p>
        </w:tc>
      </w:tr>
      <w:tr>
        <w:trPr>
          <w:cantSplit/>
        </w:trPr>
        <w:tc>
          <w:tcPr>
            <w:tcW w:type="dxa" w:w="1800"/>
            <w:tcMar>
              <w:top w:w="90" w:type="dxa"/>
              <w:start w:w="100" w:type="dxa"/>
              <w:bottom w:w="90" w:type="dxa"/>
              <w:end w:w="100" w:type="dxa"/>
            </w:tcMar>
          </w:tcPr>
          <w:p>
            <w:pPr>
              <w:keepNext w:val="0"/>
            </w:pPr>
            <w:r>
              <w:rPr>
                <w:sz w:val="18"/>
              </w:rPr>
              <w:t>replicas</w:t>
            </w:r>
          </w:p>
        </w:tc>
        <w:tc>
          <w:tcPr>
            <w:tcW w:type="dxa" w:w="7992"/>
            <w:tcMar>
              <w:top w:w="90" w:type="dxa"/>
              <w:start w:w="100" w:type="dxa"/>
              <w:bottom w:w="90" w:type="dxa"/>
              <w:end w:w="100" w:type="dxa"/>
            </w:tcMar>
          </w:tcPr>
          <w:p>
            <w:pPr>
              <w:keepNext w:val="0"/>
            </w:pPr>
            <w:r>
              <w:rPr>
                <w:sz w:val="18"/>
              </w:rPr>
              <w:t>Are configured and running replicas healthy?</w:t>
            </w:r>
          </w:p>
        </w:tc>
      </w:tr>
      <w:tr>
        <w:trPr>
          <w:cantSplit/>
        </w:trPr>
        <w:tc>
          <w:tcPr>
            <w:tcW w:type="dxa" w:w="1800"/>
            <w:tcMar>
              <w:top w:w="90" w:type="dxa"/>
              <w:start w:w="100" w:type="dxa"/>
              <w:bottom w:w="90" w:type="dxa"/>
              <w:end w:w="100" w:type="dxa"/>
            </w:tcMar>
          </w:tcPr>
          <w:p>
            <w:pPr>
              <w:keepNext w:val="0"/>
            </w:pPr>
            <w:r>
              <w:rPr>
                <w:sz w:val="18"/>
              </w:rPr>
              <w:t>revisions</w:t>
            </w:r>
          </w:p>
        </w:tc>
        <w:tc>
          <w:tcPr>
            <w:tcW w:type="dxa" w:w="7992"/>
            <w:tcMar>
              <w:top w:w="90" w:type="dxa"/>
              <w:start w:w="100" w:type="dxa"/>
              <w:bottom w:w="90" w:type="dxa"/>
              <w:end w:w="100" w:type="dxa"/>
            </w:tcMar>
          </w:tcPr>
          <w:p>
            <w:pPr>
              <w:keepNext w:val="0"/>
            </w:pPr>
            <w:r>
              <w:rPr>
                <w:sz w:val="18"/>
              </w:rPr>
              <w:t>Which revisions exist and where is traffic directed?</w:t>
            </w:r>
          </w:p>
        </w:tc>
      </w:tr>
      <w:tr>
        <w:trPr>
          <w:cantSplit/>
        </w:trPr>
        <w:tc>
          <w:tcPr>
            <w:tcW w:type="dxa" w:w="1800"/>
            <w:tcMar>
              <w:top w:w="90" w:type="dxa"/>
              <w:start w:w="100" w:type="dxa"/>
              <w:bottom w:w="90" w:type="dxa"/>
              <w:end w:w="100" w:type="dxa"/>
            </w:tcMar>
          </w:tcPr>
          <w:p>
            <w:pPr>
              <w:keepNext w:val="0"/>
            </w:pPr>
            <w:r>
              <w:rPr>
                <w:sz w:val="18"/>
              </w:rPr>
              <w:t>logs</w:t>
            </w:r>
          </w:p>
        </w:tc>
        <w:tc>
          <w:tcPr>
            <w:tcW w:type="dxa" w:w="7992"/>
            <w:tcMar>
              <w:top w:w="90" w:type="dxa"/>
              <w:start w:w="100" w:type="dxa"/>
              <w:bottom w:w="90" w:type="dxa"/>
              <w:end w:w="100" w:type="dxa"/>
            </w:tcMar>
          </w:tcPr>
          <w:p>
            <w:pPr>
              <w:keepNext w:val="0"/>
            </w:pPr>
            <w:r>
              <w:rPr>
                <w:sz w:val="18"/>
              </w:rPr>
              <w:t>What meaningful production activity/errors are visible?</w:t>
            </w:r>
          </w:p>
        </w:tc>
      </w:tr>
      <w:tr>
        <w:trPr>
          <w:cantSplit/>
        </w:trPr>
        <w:tc>
          <w:tcPr>
            <w:tcW w:type="dxa" w:w="1800"/>
            <w:tcMar>
              <w:top w:w="90" w:type="dxa"/>
              <w:start w:w="100" w:type="dxa"/>
              <w:bottom w:w="90" w:type="dxa"/>
              <w:end w:w="100" w:type="dxa"/>
            </w:tcMar>
          </w:tcPr>
          <w:p>
            <w:pPr>
              <w:keepNext w:val="0"/>
            </w:pPr>
            <w:r>
              <w:rPr>
                <w:sz w:val="18"/>
              </w:rPr>
              <w:t>cost</w:t>
            </w:r>
          </w:p>
        </w:tc>
        <w:tc>
          <w:tcPr>
            <w:tcW w:type="dxa" w:w="7992"/>
            <w:tcMar>
              <w:top w:w="90" w:type="dxa"/>
              <w:start w:w="100" w:type="dxa"/>
              <w:bottom w:w="90" w:type="dxa"/>
              <w:end w:w="100" w:type="dxa"/>
            </w:tcMar>
          </w:tcPr>
          <w:p>
            <w:pPr>
              <w:keepNext w:val="0"/>
            </w:pPr>
            <w:r>
              <w:rPr>
                <w:sz w:val="18"/>
              </w:rPr>
              <w:t>What month-to-date cost telemetry is currently available?</w:t>
            </w:r>
          </w:p>
        </w:tc>
      </w:tr>
      <w:tr>
        <w:trPr>
          <w:cantSplit/>
        </w:trPr>
        <w:tc>
          <w:tcPr>
            <w:tcW w:type="dxa" w:w="1800"/>
            <w:tcMar>
              <w:top w:w="90" w:type="dxa"/>
              <w:start w:w="100" w:type="dxa"/>
              <w:bottom w:w="90" w:type="dxa"/>
              <w:end w:w="100" w:type="dxa"/>
            </w:tcMar>
          </w:tcPr>
          <w:p>
            <w:pPr>
              <w:keepNext w:val="0"/>
            </w:pPr>
            <w:r>
              <w:rPr>
                <w:sz w:val="18"/>
              </w:rPr>
              <w:t>budget</w:t>
            </w:r>
          </w:p>
        </w:tc>
        <w:tc>
          <w:tcPr>
            <w:tcW w:type="dxa" w:w="7992"/>
            <w:tcMar>
              <w:top w:w="90" w:type="dxa"/>
              <w:start w:w="100" w:type="dxa"/>
              <w:bottom w:w="90" w:type="dxa"/>
              <w:end w:w="100" w:type="dxa"/>
            </w:tcMar>
          </w:tcPr>
          <w:p>
            <w:pPr>
              <w:keepNext w:val="0"/>
            </w:pPr>
            <w:r>
              <w:rPr>
                <w:sz w:val="18"/>
              </w:rPr>
              <w:t>Is the accepted budget/alert configuration present?</w:t>
            </w:r>
          </w:p>
        </w:tc>
      </w:tr>
      <w:tr>
        <w:trPr>
          <w:cantSplit/>
        </w:trPr>
        <w:tc>
          <w:tcPr>
            <w:tcW w:type="dxa" w:w="1800"/>
            <w:tcMar>
              <w:top w:w="90" w:type="dxa"/>
              <w:start w:w="100" w:type="dxa"/>
              <w:bottom w:w="90" w:type="dxa"/>
              <w:end w:w="100" w:type="dxa"/>
            </w:tcMar>
          </w:tcPr>
          <w:p>
            <w:pPr>
              <w:keepNext w:val="0"/>
            </w:pPr>
            <w:r>
              <w:rPr>
                <w:sz w:val="18"/>
              </w:rPr>
              <w:t>smoke</w:t>
            </w:r>
          </w:p>
        </w:tc>
        <w:tc>
          <w:tcPr>
            <w:tcW w:type="dxa" w:w="7992"/>
            <w:tcMar>
              <w:top w:w="90" w:type="dxa"/>
              <w:start w:w="100" w:type="dxa"/>
              <w:bottom w:w="90" w:type="dxa"/>
              <w:end w:w="100" w:type="dxa"/>
            </w:tcMar>
          </w:tcPr>
          <w:p>
            <w:pPr>
              <w:keepNext w:val="0"/>
            </w:pPr>
            <w:r>
              <w:rPr>
                <w:sz w:val="18"/>
              </w:rPr>
              <w:t>Does the externally visible production path behave correctly?</w:t>
            </w:r>
          </w:p>
        </w:tc>
      </w:tr>
      <w:tr>
        <w:trPr>
          <w:cantSplit/>
        </w:trPr>
        <w:tc>
          <w:tcPr>
            <w:tcW w:type="dxa" w:w="1800"/>
            <w:tcMar>
              <w:top w:w="90" w:type="dxa"/>
              <w:start w:w="100" w:type="dxa"/>
              <w:bottom w:w="90" w:type="dxa"/>
              <w:end w:w="100" w:type="dxa"/>
            </w:tcMar>
          </w:tcPr>
          <w:p>
            <w:pPr>
              <w:keepNext w:val="0"/>
            </w:pPr>
            <w:r>
              <w:rPr>
                <w:sz w:val="18"/>
              </w:rPr>
              <w:t>drift</w:t>
            </w:r>
          </w:p>
        </w:tc>
        <w:tc>
          <w:tcPr>
            <w:tcW w:type="dxa" w:w="7992"/>
            <w:tcMar>
              <w:top w:w="90" w:type="dxa"/>
              <w:start w:w="100" w:type="dxa"/>
              <w:bottom w:w="90" w:type="dxa"/>
              <w:end w:w="100" w:type="dxa"/>
            </w:tcMar>
          </w:tcPr>
          <w:p>
            <w:pPr>
              <w:keepNext w:val="0"/>
            </w:pPr>
            <w:r>
              <w:rPr>
                <w:sz w:val="18"/>
              </w:rPr>
              <w:t>Does live runtime match source-of-truth and accepted invariants?</w:t>
            </w:r>
          </w:p>
        </w:tc>
      </w:tr>
      <w:tr>
        <w:trPr>
          <w:cantSplit/>
        </w:trPr>
        <w:tc>
          <w:tcPr>
            <w:tcW w:type="dxa" w:w="1800"/>
            <w:tcMar>
              <w:top w:w="90" w:type="dxa"/>
              <w:start w:w="100" w:type="dxa"/>
              <w:bottom w:w="90" w:type="dxa"/>
              <w:end w:w="100" w:type="dxa"/>
            </w:tcMar>
          </w:tcPr>
          <w:p>
            <w:pPr>
              <w:keepNext w:val="0"/>
            </w:pPr>
            <w:r>
              <w:rPr>
                <w:sz w:val="18"/>
              </w:rPr>
              <w:t>acceptance</w:t>
            </w:r>
          </w:p>
        </w:tc>
        <w:tc>
          <w:tcPr>
            <w:tcW w:type="dxa" w:w="7992"/>
            <w:tcMar>
              <w:top w:w="90" w:type="dxa"/>
              <w:start w:w="100" w:type="dxa"/>
              <w:bottom w:w="90" w:type="dxa"/>
              <w:end w:w="100" w:type="dxa"/>
            </w:tcMar>
          </w:tcPr>
          <w:p>
            <w:pPr>
              <w:keepNext w:val="0"/>
            </w:pPr>
            <w:r>
              <w:rPr>
                <w:sz w:val="18"/>
              </w:rPr>
              <w:t>Do all required post-deployment production checks pass?</w:t>
            </w:r>
          </w:p>
        </w:tc>
      </w:tr>
      <w:tr>
        <w:trPr>
          <w:cantSplit/>
        </w:trPr>
        <w:tc>
          <w:tcPr>
            <w:tcW w:type="dxa" w:w="1800"/>
            <w:tcMar>
              <w:top w:w="90" w:type="dxa"/>
              <w:start w:w="100" w:type="dxa"/>
              <w:bottom w:w="90" w:type="dxa"/>
              <w:end w:w="100" w:type="dxa"/>
            </w:tcMar>
          </w:tcPr>
          <w:p>
            <w:pPr>
              <w:keepNext w:val="0"/>
            </w:pPr>
            <w:r>
              <w:rPr>
                <w:sz w:val="18"/>
              </w:rPr>
              <w:t>scale</w:t>
            </w:r>
          </w:p>
        </w:tc>
        <w:tc>
          <w:tcPr>
            <w:tcW w:type="dxa" w:w="7992"/>
            <w:tcMar>
              <w:top w:w="90" w:type="dxa"/>
              <w:start w:w="100" w:type="dxa"/>
              <w:bottom w:w="90" w:type="dxa"/>
              <w:end w:w="100" w:type="dxa"/>
            </w:tcMar>
          </w:tcPr>
          <w:p>
            <w:pPr>
              <w:keepNext w:val="0"/>
            </w:pPr>
            <w:r>
              <w:rPr>
                <w:sz w:val="18"/>
              </w:rPr>
              <w:t>Apply a guarded temporary live replica override when deliberately required.</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OPERATOR DEFAULT</w:t>
              <w:br/>
            </w:r>
            <w:r>
              <w:rPr>
                <w:sz w:val="20"/>
              </w:rPr>
              <w:t>Use 08 - Azure Operations CLI User Guide for command semantics and examples. Use 09 - Production Operations Runbook when starting from a symptom or alert. Cost telemetry is advisory and does not silently become a production-health gate.</w:t>
            </w:r>
          </w:p>
        </w:tc>
      </w:tr>
    </w:tbl>
    <w:p>
      <w:pPr>
        <w:spacing w:after="20"/>
      </w:pPr>
    </w:p>
    <w:p>
      <w:pPr>
        <w:pStyle w:val="Heading1"/>
      </w:pPr>
      <w:r>
        <w:t>9. Backup, recovery, and disaster recovery</w:t>
      </w:r>
    </w:p>
    <w:p>
      <w:r>
        <w:t>Recovery is deliberately separated from ordinary troubleshooting. Operators should preserve evidence, identify the failure boundary, choose the least destructive recovery layer, validate data/schema/identity behavior, and run production acceptance before declaring service restored.</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2880"/>
            <w:shd w:fill="122536"/>
            <w:tcMar>
              <w:top w:w="90" w:type="dxa"/>
              <w:start w:w="100" w:type="dxa"/>
              <w:bottom w:w="90" w:type="dxa"/>
              <w:end w:w="100" w:type="dxa"/>
            </w:tcMar>
          </w:tcPr>
          <w:p>
            <w:pPr>
              <w:keepNext w:val="0"/>
            </w:pPr>
            <w:r>
              <w:rPr>
                <w:b/>
                <w:color w:val="FFFFFF"/>
                <w:sz w:val="18"/>
              </w:rPr>
              <w:t>Recovery situation</w:t>
            </w:r>
          </w:p>
        </w:tc>
        <w:tc>
          <w:tcPr>
            <w:tcW w:type="dxa" w:w="5040"/>
            <w:shd w:fill="122536"/>
            <w:tcMar>
              <w:top w:w="90" w:type="dxa"/>
              <w:start w:w="100" w:type="dxa"/>
              <w:bottom w:w="90" w:type="dxa"/>
              <w:end w:w="100" w:type="dxa"/>
            </w:tcMar>
          </w:tcPr>
          <w:p>
            <w:pPr>
              <w:keepNext w:val="0"/>
            </w:pPr>
            <w:r>
              <w:rPr>
                <w:b/>
                <w:color w:val="FFFFFF"/>
                <w:sz w:val="18"/>
              </w:rPr>
              <w:t>Preferred response</w:t>
            </w:r>
          </w:p>
        </w:tc>
        <w:tc>
          <w:tcPr>
            <w:tcW w:type="dxa" w:w="1872"/>
            <w:shd w:fill="122536"/>
            <w:tcMar>
              <w:top w:w="90" w:type="dxa"/>
              <w:start w:w="100" w:type="dxa"/>
              <w:bottom w:w="90" w:type="dxa"/>
              <w:end w:w="100" w:type="dxa"/>
            </w:tcMar>
          </w:tcPr>
          <w:p>
            <w:pPr>
              <w:keepNext w:val="0"/>
            </w:pPr>
            <w:r>
              <w:rPr>
                <w:b/>
                <w:color w:val="FFFFFF"/>
                <w:sz w:val="18"/>
              </w:rPr>
              <w:t>Reference</w:t>
            </w:r>
          </w:p>
        </w:tc>
      </w:tr>
      <w:tr>
        <w:trPr>
          <w:cantSplit/>
        </w:trPr>
        <w:tc>
          <w:tcPr>
            <w:tcW w:type="dxa" w:w="2880"/>
            <w:tcMar>
              <w:top w:w="90" w:type="dxa"/>
              <w:start w:w="100" w:type="dxa"/>
              <w:bottom w:w="90" w:type="dxa"/>
              <w:end w:w="100" w:type="dxa"/>
            </w:tcMar>
          </w:tcPr>
          <w:p>
            <w:pPr>
              <w:keepNext w:val="0"/>
            </w:pPr>
            <w:r>
              <w:rPr>
                <w:sz w:val="18"/>
              </w:rPr>
              <w:t>Bad application deployment</w:t>
            </w:r>
          </w:p>
        </w:tc>
        <w:tc>
          <w:tcPr>
            <w:tcW w:type="dxa" w:w="5040"/>
            <w:tcMar>
              <w:top w:w="90" w:type="dxa"/>
              <w:start w:w="100" w:type="dxa"/>
              <w:bottom w:w="90" w:type="dxa"/>
              <w:end w:w="100" w:type="dxa"/>
            </w:tcMar>
          </w:tcPr>
          <w:p>
            <w:pPr>
              <w:keepNext w:val="0"/>
            </w:pPr>
            <w:r>
              <w:rPr>
                <w:sz w:val="18"/>
              </w:rPr>
              <w:t>Roll back to a known-good immutable application image/revision; validate migrations and external behavior.</w:t>
            </w:r>
          </w:p>
        </w:tc>
        <w:tc>
          <w:tcPr>
            <w:tcW w:type="dxa" w:w="1872"/>
            <w:tcMar>
              <w:top w:w="90" w:type="dxa"/>
              <w:start w:w="100" w:type="dxa"/>
              <w:bottom w:w="90" w:type="dxa"/>
              <w:end w:w="100" w:type="dxa"/>
            </w:tcMar>
          </w:tcPr>
          <w:p>
            <w:pPr>
              <w:keepNext w:val="0"/>
            </w:pPr>
            <w:r>
              <w:rPr>
                <w:sz w:val="18"/>
              </w:rPr>
              <w:t>11 DR Runbook</w:t>
            </w:r>
          </w:p>
        </w:tc>
      </w:tr>
      <w:tr>
        <w:trPr>
          <w:cantSplit/>
        </w:trPr>
        <w:tc>
          <w:tcPr>
            <w:tcW w:type="dxa" w:w="2880"/>
            <w:tcMar>
              <w:top w:w="90" w:type="dxa"/>
              <w:start w:w="100" w:type="dxa"/>
              <w:bottom w:w="90" w:type="dxa"/>
              <w:end w:w="100" w:type="dxa"/>
            </w:tcMar>
          </w:tcPr>
          <w:p>
            <w:pPr>
              <w:keepNext w:val="0"/>
            </w:pPr>
            <w:r>
              <w:rPr>
                <w:sz w:val="18"/>
              </w:rPr>
              <w:t>Database data/schema incident</w:t>
            </w:r>
          </w:p>
        </w:tc>
        <w:tc>
          <w:tcPr>
            <w:tcW w:type="dxa" w:w="5040"/>
            <w:tcMar>
              <w:top w:w="90" w:type="dxa"/>
              <w:start w:w="100" w:type="dxa"/>
              <w:bottom w:w="90" w:type="dxa"/>
              <w:end w:w="100" w:type="dxa"/>
            </w:tcMar>
          </w:tcPr>
          <w:p>
            <w:pPr>
              <w:keepNext w:val="0"/>
            </w:pPr>
            <w:r>
              <w:rPr>
                <w:sz w:val="18"/>
              </w:rPr>
              <w:t>Use PostgreSQL recovery/PITR decision flow; restore to a temporary server when appropriate; validate before cutover.</w:t>
            </w:r>
          </w:p>
        </w:tc>
        <w:tc>
          <w:tcPr>
            <w:tcW w:type="dxa" w:w="1872"/>
            <w:tcMar>
              <w:top w:w="90" w:type="dxa"/>
              <w:start w:w="100" w:type="dxa"/>
              <w:bottom w:w="90" w:type="dxa"/>
              <w:end w:w="100" w:type="dxa"/>
            </w:tcMar>
          </w:tcPr>
          <w:p>
            <w:pPr>
              <w:keepNext w:val="0"/>
            </w:pPr>
            <w:r>
              <w:rPr>
                <w:sz w:val="18"/>
              </w:rPr>
              <w:t>11 DR Runbook</w:t>
            </w:r>
          </w:p>
        </w:tc>
      </w:tr>
      <w:tr>
        <w:trPr>
          <w:cantSplit/>
        </w:trPr>
        <w:tc>
          <w:tcPr>
            <w:tcW w:type="dxa" w:w="2880"/>
            <w:tcMar>
              <w:top w:w="90" w:type="dxa"/>
              <w:start w:w="100" w:type="dxa"/>
              <w:bottom w:w="90" w:type="dxa"/>
              <w:end w:w="100" w:type="dxa"/>
            </w:tcMar>
          </w:tcPr>
          <w:p>
            <w:pPr>
              <w:keepNext w:val="0"/>
            </w:pPr>
            <w:r>
              <w:rPr>
                <w:sz w:val="18"/>
              </w:rPr>
              <w:t>Secret/Key Vault problem</w:t>
            </w:r>
          </w:p>
        </w:tc>
        <w:tc>
          <w:tcPr>
            <w:tcW w:type="dxa" w:w="5040"/>
            <w:tcMar>
              <w:top w:w="90" w:type="dxa"/>
              <w:start w:w="100" w:type="dxa"/>
              <w:bottom w:w="90" w:type="dxa"/>
              <w:end w:w="100" w:type="dxa"/>
            </w:tcMar>
          </w:tcPr>
          <w:p>
            <w:pPr>
              <w:keepNext w:val="0"/>
            </w:pPr>
            <w:r>
              <w:rPr>
                <w:sz w:val="18"/>
              </w:rPr>
              <w:t>Repair the secret/identity boundary without dumping values; restart/redeploy only as required.</w:t>
            </w:r>
          </w:p>
        </w:tc>
        <w:tc>
          <w:tcPr>
            <w:tcW w:type="dxa" w:w="1872"/>
            <w:tcMar>
              <w:top w:w="90" w:type="dxa"/>
              <w:start w:w="100" w:type="dxa"/>
              <w:bottom w:w="90" w:type="dxa"/>
              <w:end w:w="100" w:type="dxa"/>
            </w:tcMar>
          </w:tcPr>
          <w:p>
            <w:pPr>
              <w:keepNext w:val="0"/>
            </w:pPr>
            <w:r>
              <w:rPr>
                <w:sz w:val="18"/>
              </w:rPr>
              <w:t>11 DR Runbook</w:t>
            </w:r>
          </w:p>
        </w:tc>
      </w:tr>
      <w:tr>
        <w:trPr>
          <w:cantSplit/>
        </w:trPr>
        <w:tc>
          <w:tcPr>
            <w:tcW w:type="dxa" w:w="2880"/>
            <w:tcMar>
              <w:top w:w="90" w:type="dxa"/>
              <w:start w:w="100" w:type="dxa"/>
              <w:bottom w:w="90" w:type="dxa"/>
              <w:end w:w="100" w:type="dxa"/>
            </w:tcMar>
          </w:tcPr>
          <w:p>
            <w:pPr>
              <w:keepNext w:val="0"/>
            </w:pPr>
            <w:r>
              <w:rPr>
                <w:sz w:val="18"/>
              </w:rPr>
              <w:t>DNS/TLS/callback mismatch</w:t>
            </w:r>
          </w:p>
        </w:tc>
        <w:tc>
          <w:tcPr>
            <w:tcW w:type="dxa" w:w="5040"/>
            <w:tcMar>
              <w:top w:w="90" w:type="dxa"/>
              <w:start w:w="100" w:type="dxa"/>
              <w:bottom w:w="90" w:type="dxa"/>
              <w:end w:w="100" w:type="dxa"/>
            </w:tcMar>
          </w:tcPr>
          <w:p>
            <w:pPr>
              <w:keepNext w:val="0"/>
            </w:pPr>
            <w:r>
              <w:rPr>
                <w:sz w:val="18"/>
              </w:rPr>
              <w:t>Restore external alignment among custom domain, Entra callback, GitHub callback/setup URLs, and application origin.</w:t>
            </w:r>
          </w:p>
        </w:tc>
        <w:tc>
          <w:tcPr>
            <w:tcW w:type="dxa" w:w="1872"/>
            <w:tcMar>
              <w:top w:w="90" w:type="dxa"/>
              <w:start w:w="100" w:type="dxa"/>
              <w:bottom w:w="90" w:type="dxa"/>
              <w:end w:w="100" w:type="dxa"/>
            </w:tcMar>
          </w:tcPr>
          <w:p>
            <w:pPr>
              <w:keepNext w:val="0"/>
            </w:pPr>
            <w:r>
              <w:rPr>
                <w:sz w:val="18"/>
              </w:rPr>
              <w:t>02, 11</w:t>
            </w:r>
          </w:p>
        </w:tc>
      </w:tr>
      <w:tr>
        <w:trPr>
          <w:cantSplit/>
        </w:trPr>
        <w:tc>
          <w:tcPr>
            <w:tcW w:type="dxa" w:w="2880"/>
            <w:tcMar>
              <w:top w:w="90" w:type="dxa"/>
              <w:start w:w="100" w:type="dxa"/>
              <w:bottom w:w="90" w:type="dxa"/>
              <w:end w:w="100" w:type="dxa"/>
            </w:tcMar>
          </w:tcPr>
          <w:p>
            <w:pPr>
              <w:keepNext w:val="0"/>
            </w:pPr>
            <w:r>
              <w:rPr>
                <w:sz w:val="18"/>
              </w:rPr>
              <w:t>Production alert / uncertain symptom</w:t>
            </w:r>
          </w:p>
        </w:tc>
        <w:tc>
          <w:tcPr>
            <w:tcW w:type="dxa" w:w="5040"/>
            <w:tcMar>
              <w:top w:w="90" w:type="dxa"/>
              <w:start w:w="100" w:type="dxa"/>
              <w:bottom w:w="90" w:type="dxa"/>
              <w:end w:w="100" w:type="dxa"/>
            </w:tcMar>
          </w:tcPr>
          <w:p>
            <w:pPr>
              <w:keepNext w:val="0"/>
            </w:pPr>
            <w:r>
              <w:rPr>
                <w:sz w:val="18"/>
              </w:rPr>
              <w:t>Triage first with status, health, replicas, logs, smoke, and drift. Escalate to recovery only when justified.</w:t>
            </w:r>
          </w:p>
        </w:tc>
        <w:tc>
          <w:tcPr>
            <w:tcW w:type="dxa" w:w="1872"/>
            <w:tcMar>
              <w:top w:w="90" w:type="dxa"/>
              <w:start w:w="100" w:type="dxa"/>
              <w:bottom w:w="90" w:type="dxa"/>
              <w:end w:w="100" w:type="dxa"/>
            </w:tcMar>
          </w:tcPr>
          <w:p>
            <w:pPr>
              <w:keepNext w:val="0"/>
            </w:pPr>
            <w:r>
              <w:rPr>
                <w:sz w:val="18"/>
              </w:rPr>
              <w:t>09 Operations Runbook</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RETURN-TO-SERVICE GATE</w:t>
              <w:br/>
            </w:r>
            <w:r>
              <w:rPr>
                <w:sz w:val="20"/>
              </w:rPr>
              <w:t>Recovery is not complete when a resource is merely “running.” Required validation culminates in the same post-deployment production acceptance discipline used after controlled deployment.</w:t>
            </w:r>
          </w:p>
        </w:tc>
      </w:tr>
    </w:tbl>
    <w:p>
      <w:pPr>
        <w:spacing w:after="20"/>
      </w:pPr>
    </w:p>
    <w:p>
      <w:pPr>
        <w:pStyle w:val="Heading1"/>
      </w:pPr>
      <w:r>
        <w:t>10. Security, privacy, authority, and evidence boundaries</w:t>
      </w:r>
    </w:p>
    <w:p>
      <w:r>
        <w:t>Several invariants are central to the product and should guide any future change, adoption, or troubleshooting decision.</w:t>
      </w:r>
    </w:p>
    <w:p>
      <w:pPr>
        <w:pStyle w:val="ListBullet"/>
        <w:spacing w:after="50"/>
      </w:pPr>
      <w:r>
        <w:t>Authentication and authorization remain separate. A valid institutional identity does not automatically grant course/team access.</w:t>
      </w:r>
    </w:p>
    <w:p>
      <w:pPr>
        <w:pStyle w:val="ListBullet"/>
        <w:spacing w:after="50"/>
      </w:pPr>
      <w:r>
        <w:t>GitHub identity linking and GitHub repository evidence access are separate trust boundaries.</w:t>
      </w:r>
    </w:p>
    <w:p>
      <w:pPr>
        <w:pStyle w:val="ListBullet"/>
        <w:spacing w:after="50"/>
      </w:pPr>
      <w:r>
        <w:t>Repository access is selected-repository, read-oriented, and verified against the exact nominated repository.</w:t>
      </w:r>
    </w:p>
    <w:p>
      <w:pPr>
        <w:pStyle w:val="ListBullet"/>
        <w:spacing w:after="50"/>
      </w:pPr>
      <w:r>
        <w:t>Evidence snapshots are immutable historical context for the review session that used them.</w:t>
      </w:r>
    </w:p>
    <w:p>
      <w:pPr>
        <w:pStyle w:val="ListBullet"/>
        <w:spacing w:after="50"/>
      </w:pPr>
      <w:r>
        <w:t>FACT observations and REVIEW interpretations are distinct; findings can be challenged and corrected.</w:t>
      </w:r>
    </w:p>
    <w:p>
      <w:pPr>
        <w:pStyle w:val="ListBullet"/>
        <w:spacing w:after="50"/>
      </w:pPr>
      <w:r>
        <w:t>Students remain responsible engineers. Controlled reviewers provide bounded advice, challenge, and coaching.</w:t>
      </w:r>
    </w:p>
    <w:p>
      <w:pPr>
        <w:pStyle w:val="ListBullet"/>
        <w:spacing w:after="50"/>
      </w:pPr>
      <w:r>
        <w:t>Studio is developmental. Formal phase-gate review is based on the designated Git tag in the Engineering Review Center.</w:t>
      </w:r>
    </w:p>
    <w:p>
      <w:pPr>
        <w:pStyle w:val="ListBullet"/>
        <w:spacing w:after="50"/>
      </w:pPr>
      <w:r>
        <w:t>Instructor/course-owner authority is role-scoped; archived terms are historical and cannot grant current operational authorization.</w:t>
      </w:r>
    </w:p>
    <w:p>
      <w:pPr>
        <w:pStyle w:val="ListBullet"/>
        <w:spacing w:after="50"/>
      </w:pPr>
      <w:r>
        <w:t>Routine operational output avoids displaying secret values; recovery procedures should preserve the same discipline.</w:t>
      </w:r>
    </w:p>
    <w:p>
      <w:pPr>
        <w:pStyle w:val="Heading1"/>
      </w:pPr>
      <w:r>
        <w:t>11. Documentation library index</w:t>
      </w:r>
    </w:p>
    <w:p>
      <w:pPr>
        <w:keepNext/>
        <w:jc w:val="center"/>
      </w:pPr>
      <w:r>
        <w:drawing>
          <wp:inline xmlns:a="http://schemas.openxmlformats.org/drawingml/2006/main" xmlns:pic="http://schemas.openxmlformats.org/drawingml/2006/picture">
            <wp:extent cx="6080760" cy="3328416"/>
            <wp:docPr id="5" name="Picture 5" descr="Figure 5. Documentation architecture by audience. This Master Manual is the front door to the complete library." title="Figure 5"/>
            <wp:cNvGraphicFramePr>
              <a:graphicFrameLocks noChangeAspect="1"/>
            </wp:cNvGraphicFramePr>
            <a:graphic>
              <a:graphicData uri="http://schemas.openxmlformats.org/drawingml/2006/picture">
                <pic:pic>
                  <pic:nvPicPr>
                    <pic:cNvPr id="0" name="fig04_documentation_map.png"/>
                    <pic:cNvPicPr/>
                  </pic:nvPicPr>
                  <pic:blipFill>
                    <a:blip r:embed="rId15"/>
                    <a:stretch>
                      <a:fillRect/>
                    </a:stretch>
                  </pic:blipFill>
                  <pic:spPr>
                    <a:xfrm>
                      <a:off x="0" y="0"/>
                      <a:ext cx="6080760" cy="3328416"/>
                    </a:xfrm>
                    <a:prstGeom prst="rect"/>
                  </pic:spPr>
                </pic:pic>
              </a:graphicData>
            </a:graphic>
          </wp:inline>
        </w:drawing>
      </w:r>
    </w:p>
    <w:p>
      <w:pPr>
        <w:pStyle w:val="ETISCaption"/>
        <w:keepNext w:val="0"/>
        <w:keepLines/>
        <w:jc w:val="center"/>
      </w:pPr>
      <w:r>
        <w:t>Figure 5. Documentation architecture by audience. This Master Manual is the front door to the complete library.</w:t>
      </w:r>
      <w:r>
        <w:t xml:space="preserve"> Historical reference figure; current text governs.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cantSplit/>
        </w:trPr>
        <w:tc>
          <w:tcPr>
            <w:tcW w:type="dxa" w:w="648"/>
            <w:shd w:fill="122536"/>
            <w:tcMar>
              <w:top w:w="90" w:type="dxa"/>
              <w:start w:w="100" w:type="dxa"/>
              <w:bottom w:w="90" w:type="dxa"/>
              <w:end w:w="100" w:type="dxa"/>
            </w:tcMar>
          </w:tcPr>
          <w:p>
            <w:pPr>
              <w:keepNext w:val="0"/>
            </w:pPr>
            <w:r>
              <w:rPr>
                <w:b/>
                <w:color w:val="FFFFFF"/>
                <w:sz w:val="18"/>
              </w:rPr>
              <w:t>ID</w:t>
            </w:r>
          </w:p>
        </w:tc>
        <w:tc>
          <w:tcPr>
            <w:tcW w:type="dxa" w:w="2520"/>
            <w:shd w:fill="122536"/>
            <w:tcMar>
              <w:top w:w="90" w:type="dxa"/>
              <w:start w:w="100" w:type="dxa"/>
              <w:bottom w:w="90" w:type="dxa"/>
              <w:end w:w="100" w:type="dxa"/>
            </w:tcMar>
          </w:tcPr>
          <w:p>
            <w:pPr>
              <w:keepNext w:val="0"/>
            </w:pPr>
            <w:r>
              <w:rPr>
                <w:b/>
                <w:color w:val="FFFFFF"/>
                <w:sz w:val="18"/>
              </w:rPr>
              <w:t>Document</w:t>
            </w:r>
          </w:p>
        </w:tc>
        <w:tc>
          <w:tcPr>
            <w:tcW w:type="dxa" w:w="2232"/>
            <w:shd w:fill="122536"/>
            <w:tcMar>
              <w:top w:w="90" w:type="dxa"/>
              <w:start w:w="100" w:type="dxa"/>
              <w:bottom w:w="90" w:type="dxa"/>
              <w:end w:w="100" w:type="dxa"/>
            </w:tcMar>
          </w:tcPr>
          <w:p>
            <w:pPr>
              <w:keepNext w:val="0"/>
            </w:pPr>
            <w:r>
              <w:rPr>
                <w:b/>
                <w:color w:val="FFFFFF"/>
                <w:sz w:val="18"/>
              </w:rPr>
              <w:t>Primary audience</w:t>
            </w:r>
          </w:p>
        </w:tc>
        <w:tc>
          <w:tcPr>
            <w:tcW w:type="dxa" w:w="4536"/>
            <w:shd w:fill="122536"/>
            <w:tcMar>
              <w:top w:w="90" w:type="dxa"/>
              <w:start w:w="100" w:type="dxa"/>
              <w:bottom w:w="90" w:type="dxa"/>
              <w:end w:w="100" w:type="dxa"/>
            </w:tcMar>
          </w:tcPr>
          <w:p>
            <w:pPr>
              <w:keepNext w:val="0"/>
            </w:pPr>
            <w:r>
              <w:rPr>
                <w:b/>
                <w:color w:val="FFFFFF"/>
                <w:sz w:val="18"/>
              </w:rPr>
              <w:t>Use it when…</w:t>
            </w:r>
          </w:p>
        </w:tc>
      </w:tr>
      <w:tr>
        <w:trPr>
          <w:cantSplit/>
        </w:trPr>
        <w:tc>
          <w:tcPr>
            <w:tcW w:type="dxa" w:w="648"/>
            <w:tcMar>
              <w:top w:w="90" w:type="dxa"/>
              <w:start w:w="100" w:type="dxa"/>
              <w:bottom w:w="90" w:type="dxa"/>
              <w:end w:w="100" w:type="dxa"/>
            </w:tcMar>
          </w:tcPr>
          <w:p>
            <w:pPr>
              <w:keepNext w:val="0"/>
            </w:pPr>
            <w:r>
              <w:rPr>
                <w:sz w:val="18"/>
              </w:rPr>
              <w:t>00</w:t>
            </w:r>
          </w:p>
        </w:tc>
        <w:tc>
          <w:tcPr>
            <w:tcW w:type="dxa" w:w="2520"/>
            <w:tcMar>
              <w:top w:w="90" w:type="dxa"/>
              <w:start w:w="100" w:type="dxa"/>
              <w:bottom w:w="90" w:type="dxa"/>
              <w:end w:w="100" w:type="dxa"/>
            </w:tcMar>
          </w:tcPr>
          <w:p>
            <w:pPr>
              <w:keepNext w:val="0"/>
            </w:pPr>
            <w:r>
              <w:rPr>
                <w:sz w:val="18"/>
              </w:rPr>
              <w:t>Master Manual &amp; Documentation Index</w:t>
            </w:r>
          </w:p>
        </w:tc>
        <w:tc>
          <w:tcPr>
            <w:tcW w:type="dxa" w:w="2232"/>
            <w:tcMar>
              <w:top w:w="90" w:type="dxa"/>
              <w:start w:w="100" w:type="dxa"/>
              <w:bottom w:w="90" w:type="dxa"/>
              <w:end w:w="100" w:type="dxa"/>
            </w:tcMar>
          </w:tcPr>
          <w:p>
            <w:pPr>
              <w:keepNext w:val="0"/>
            </w:pPr>
            <w:r>
              <w:rPr>
                <w:sz w:val="18"/>
              </w:rPr>
              <w:t>All audiences</w:t>
            </w:r>
          </w:p>
        </w:tc>
        <w:tc>
          <w:tcPr>
            <w:tcW w:type="dxa" w:w="4536"/>
            <w:tcMar>
              <w:top w:w="90" w:type="dxa"/>
              <w:start w:w="100" w:type="dxa"/>
              <w:bottom w:w="90" w:type="dxa"/>
              <w:end w:w="100" w:type="dxa"/>
            </w:tcMar>
          </w:tcPr>
          <w:p>
            <w:pPr>
              <w:keepNext w:val="0"/>
            </w:pPr>
            <w:r>
              <w:rPr>
                <w:sz w:val="18"/>
              </w:rPr>
              <w:t>System purpose, ETIS relationships, audience map, scenario index, governance, and the front door to the library.</w:t>
            </w:r>
          </w:p>
        </w:tc>
      </w:tr>
      <w:tr>
        <w:trPr>
          <w:cantSplit/>
        </w:trPr>
        <w:tc>
          <w:tcPr>
            <w:tcW w:type="dxa" w:w="2541"/>
          </w:tcPr>
          <w:p>
            <w:pPr>
              <w:keepNext w:val="0"/>
            </w:pPr>
            <w:r>
              <w:t>01</w:t>
            </w:r>
          </w:p>
        </w:tc>
        <w:tc>
          <w:tcPr>
            <w:tcW w:type="dxa" w:w="2541"/>
          </w:tcPr>
          <w:p>
            <w:pPr>
              <w:keepNext w:val="0"/>
            </w:pPr>
            <w:r>
              <w:t>Executive Overview</w:t>
            </w:r>
          </w:p>
        </w:tc>
        <w:tc>
          <w:tcPr>
            <w:tcW w:type="dxa" w:w="2541"/>
          </w:tcPr>
          <w:p>
            <w:pPr>
              <w:keepNext w:val="0"/>
            </w:pPr>
            <w:r>
              <w:t>Leadership / institutional adopter</w:t>
            </w:r>
          </w:p>
        </w:tc>
        <w:tc>
          <w:tcPr>
            <w:tcW w:type="dxa" w:w="2541"/>
          </w:tcPr>
          <w:p>
            <w:pPr>
              <w:keepNext w:val="0"/>
            </w:pPr>
            <w:r>
              <w:t>Purpose, governance, educational value and adoption decisions.</w:t>
            </w:r>
          </w:p>
        </w:tc>
      </w:tr>
      <w:tr>
        <w:trPr>
          <w:cantSplit/>
        </w:trPr>
        <w:tc>
          <w:tcPr>
            <w:tcW w:type="dxa" w:w="648"/>
            <w:tcMar>
              <w:top w:w="90" w:type="dxa"/>
              <w:start w:w="100" w:type="dxa"/>
              <w:bottom w:w="90" w:type="dxa"/>
              <w:end w:w="100" w:type="dxa"/>
            </w:tcMar>
          </w:tcPr>
          <w:p>
            <w:pPr>
              <w:keepNext w:val="0"/>
            </w:pPr>
            <w:r>
              <w:rPr>
                <w:sz w:val="18"/>
              </w:rPr>
              <w:t>02</w:t>
            </w:r>
          </w:p>
        </w:tc>
        <w:tc>
          <w:tcPr>
            <w:tcW w:type="dxa" w:w="2520"/>
            <w:tcMar>
              <w:top w:w="90" w:type="dxa"/>
              <w:start w:w="100" w:type="dxa"/>
              <w:bottom w:w="90" w:type="dxa"/>
              <w:end w:w="100" w:type="dxa"/>
            </w:tcMar>
          </w:tcPr>
          <w:p>
            <w:pPr>
              <w:keepNext w:val="0"/>
            </w:pPr>
            <w:r>
              <w:rPr>
                <w:sz w:val="18"/>
              </w:rPr>
              <w:t>Installation &amp; Administration Guide</w:t>
            </w:r>
          </w:p>
        </w:tc>
        <w:tc>
          <w:tcPr>
            <w:tcW w:type="dxa" w:w="2232"/>
            <w:tcMar>
              <w:top w:w="90" w:type="dxa"/>
              <w:start w:w="100" w:type="dxa"/>
              <w:bottom w:w="90" w:type="dxa"/>
              <w:end w:w="100" w:type="dxa"/>
            </w:tcMar>
          </w:tcPr>
          <w:p>
            <w:pPr>
              <w:keepNext w:val="0"/>
            </w:pPr>
            <w:r>
              <w:rPr>
                <w:sz w:val="18"/>
              </w:rPr>
              <w:t>Technical administrator / institutional adopter</w:t>
            </w:r>
          </w:p>
        </w:tc>
        <w:tc>
          <w:tcPr>
            <w:tcW w:type="dxa" w:w="4536"/>
            <w:tcMar>
              <w:top w:w="90" w:type="dxa"/>
              <w:start w:w="100" w:type="dxa"/>
              <w:bottom w:w="90" w:type="dxa"/>
              <w:end w:w="100" w:type="dxa"/>
            </w:tcMar>
          </w:tcPr>
          <w:p>
            <w:pPr>
              <w:keepNext w:val="0"/>
            </w:pPr>
            <w:r>
              <w:rPr>
                <w:sz w:val="18"/>
              </w:rPr>
              <w:t>Greenfield install, Entra, GitHub OAuth/App, GitHub production environment, Azure, DNS/TLS, deployment, acceptance, administration, upgrade, decommissioning.</w:t>
            </w:r>
          </w:p>
        </w:tc>
      </w:tr>
      <w:tr>
        <w:trPr>
          <w:cantSplit/>
        </w:trPr>
        <w:tc>
          <w:tcPr>
            <w:tcW w:type="dxa" w:w="648"/>
            <w:tcMar>
              <w:top w:w="90" w:type="dxa"/>
              <w:start w:w="100" w:type="dxa"/>
              <w:bottom w:w="90" w:type="dxa"/>
              <w:end w:w="100" w:type="dxa"/>
            </w:tcMar>
          </w:tcPr>
          <w:p>
            <w:pPr>
              <w:keepNext w:val="0"/>
            </w:pPr>
            <w:r>
              <w:rPr>
                <w:sz w:val="18"/>
              </w:rPr>
              <w:t>03</w:t>
            </w:r>
          </w:p>
        </w:tc>
        <w:tc>
          <w:tcPr>
            <w:tcW w:type="dxa" w:w="2520"/>
            <w:tcMar>
              <w:top w:w="90" w:type="dxa"/>
              <w:start w:w="100" w:type="dxa"/>
              <w:bottom w:w="90" w:type="dxa"/>
              <w:end w:w="100" w:type="dxa"/>
            </w:tcMar>
          </w:tcPr>
          <w:p>
            <w:pPr>
              <w:keepNext w:val="0"/>
            </w:pPr>
            <w:r>
              <w:rPr>
                <w:sz w:val="18"/>
              </w:rPr>
              <w:t>Architecture &amp; Detailed Design</w:t>
            </w:r>
          </w:p>
        </w:tc>
        <w:tc>
          <w:tcPr>
            <w:tcW w:type="dxa" w:w="2232"/>
            <w:tcMar>
              <w:top w:w="90" w:type="dxa"/>
              <w:start w:w="100" w:type="dxa"/>
              <w:bottom w:w="90" w:type="dxa"/>
              <w:end w:w="100" w:type="dxa"/>
            </w:tcMar>
          </w:tcPr>
          <w:p>
            <w:pPr>
              <w:keepNext w:val="0"/>
            </w:pPr>
            <w:r>
              <w:rPr>
                <w:sz w:val="18"/>
              </w:rPr>
              <w:t>Architect / maintainer / security reviewer</w:t>
            </w:r>
          </w:p>
        </w:tc>
        <w:tc>
          <w:tcPr>
            <w:tcW w:type="dxa" w:w="4536"/>
            <w:tcMar>
              <w:top w:w="90" w:type="dxa"/>
              <w:start w:w="100" w:type="dxa"/>
              <w:bottom w:w="90" w:type="dxa"/>
              <w:end w:w="100" w:type="dxa"/>
            </w:tcMar>
          </w:tcPr>
          <w:p>
            <w:pPr>
              <w:keepNext w:val="0"/>
            </w:pPr>
            <w:r>
              <w:rPr>
                <w:sz w:val="18"/>
              </w:rPr>
              <w:t>Trust boundaries, data/evidence model, review orchestration, identity, lifecycle, persistence, concurrency, Azure topology, invariants, extension points.</w:t>
            </w:r>
          </w:p>
        </w:tc>
      </w:tr>
      <w:tr>
        <w:trPr>
          <w:cantSplit/>
        </w:trPr>
        <w:tc>
          <w:tcPr>
            <w:tcW w:type="dxa" w:w="648"/>
            <w:tcMar>
              <w:top w:w="90" w:type="dxa"/>
              <w:start w:w="100" w:type="dxa"/>
              <w:bottom w:w="90" w:type="dxa"/>
              <w:end w:w="100" w:type="dxa"/>
            </w:tcMar>
          </w:tcPr>
          <w:p>
            <w:pPr>
              <w:keepNext w:val="0"/>
            </w:pPr>
            <w:r>
              <w:rPr>
                <w:sz w:val="18"/>
              </w:rPr>
              <w:t>04</w:t>
            </w:r>
          </w:p>
        </w:tc>
        <w:tc>
          <w:tcPr>
            <w:tcW w:type="dxa" w:w="2520"/>
            <w:tcMar>
              <w:top w:w="90" w:type="dxa"/>
              <w:start w:w="100" w:type="dxa"/>
              <w:bottom w:w="90" w:type="dxa"/>
              <w:end w:w="100" w:type="dxa"/>
            </w:tcMar>
          </w:tcPr>
          <w:p>
            <w:pPr>
              <w:keepNext w:val="0"/>
            </w:pPr>
            <w:r>
              <w:rPr>
                <w:sz w:val="18"/>
              </w:rPr>
              <w:t>Instructor &amp; Course Owner Handbook</w:t>
            </w:r>
          </w:p>
        </w:tc>
        <w:tc>
          <w:tcPr>
            <w:tcW w:type="dxa" w:w="2232"/>
            <w:tcMar>
              <w:top w:w="90" w:type="dxa"/>
              <w:start w:w="100" w:type="dxa"/>
              <w:bottom w:w="90" w:type="dxa"/>
              <w:end w:w="100" w:type="dxa"/>
            </w:tcMar>
          </w:tcPr>
          <w:p>
            <w:pPr>
              <w:keepNext w:val="0"/>
            </w:pPr>
            <w:r>
              <w:rPr>
                <w:sz w:val="18"/>
              </w:rPr>
              <w:t>Instructor / course owner / teaching staff</w:t>
            </w:r>
          </w:p>
        </w:tc>
        <w:tc>
          <w:tcPr>
            <w:tcW w:type="dxa" w:w="4536"/>
            <w:tcMar>
              <w:top w:w="90" w:type="dxa"/>
              <w:start w:w="100" w:type="dxa"/>
              <w:bottom w:w="90" w:type="dxa"/>
              <w:end w:w="100" w:type="dxa"/>
            </w:tcMar>
          </w:tcPr>
          <w:p>
            <w:pPr>
              <w:keepNext w:val="0"/>
            </w:pPr>
            <w:r>
              <w:rPr>
                <w:sz w:val="18"/>
              </w:rPr>
              <w:t>Command Center, teams, students, reviews, evidence, findings, repository recovery, AI usage, support, coaching boundary, troubleshooting.</w:t>
            </w:r>
          </w:p>
        </w:tc>
      </w:tr>
      <w:tr>
        <w:trPr>
          <w:cantSplit/>
        </w:trPr>
        <w:tc>
          <w:tcPr>
            <w:tcW w:type="dxa" w:w="648"/>
            <w:tcMar>
              <w:top w:w="90" w:type="dxa"/>
              <w:start w:w="100" w:type="dxa"/>
              <w:bottom w:w="90" w:type="dxa"/>
              <w:end w:w="100" w:type="dxa"/>
            </w:tcMar>
          </w:tcPr>
          <w:p>
            <w:pPr>
              <w:keepNext w:val="0"/>
            </w:pPr>
            <w:r>
              <w:rPr>
                <w:sz w:val="18"/>
              </w:rPr>
              <w:t>05</w:t>
            </w:r>
          </w:p>
        </w:tc>
        <w:tc>
          <w:tcPr>
            <w:tcW w:type="dxa" w:w="2520"/>
            <w:tcMar>
              <w:top w:w="90" w:type="dxa"/>
              <w:start w:w="100" w:type="dxa"/>
              <w:bottom w:w="90" w:type="dxa"/>
              <w:end w:w="100" w:type="dxa"/>
            </w:tcMar>
          </w:tcPr>
          <w:p>
            <w:pPr>
              <w:keepNext w:val="0"/>
            </w:pPr>
            <w:r>
              <w:rPr>
                <w:sz w:val="18"/>
              </w:rPr>
              <w:t>Student User Guide</w:t>
            </w:r>
          </w:p>
        </w:tc>
        <w:tc>
          <w:tcPr>
            <w:tcW w:type="dxa" w:w="2232"/>
            <w:tcMar>
              <w:top w:w="90" w:type="dxa"/>
              <w:start w:w="100" w:type="dxa"/>
              <w:bottom w:w="90" w:type="dxa"/>
              <w:end w:w="100" w:type="dxa"/>
            </w:tcMar>
          </w:tcPr>
          <w:p>
            <w:pPr>
              <w:keepNext w:val="0"/>
            </w:pPr>
            <w:r>
              <w:rPr>
                <w:sz w:val="18"/>
              </w:rPr>
              <w:t>Student</w:t>
            </w:r>
          </w:p>
        </w:tc>
        <w:tc>
          <w:tcPr>
            <w:tcW w:type="dxa" w:w="4536"/>
            <w:tcMar>
              <w:top w:w="90" w:type="dxa"/>
              <w:start w:w="100" w:type="dxa"/>
              <w:bottom w:w="90" w:type="dxa"/>
              <w:end w:w="100" w:type="dxa"/>
            </w:tcMar>
          </w:tcPr>
          <w:p>
            <w:pPr>
              <w:keepNext w:val="0"/>
            </w:pPr>
            <w:r>
              <w:rPr>
                <w:sz w:val="18"/>
              </w:rPr>
              <w:t>Complete student experience: sign-in, team/repository trust, evidence, snapshots, reviews, recommendations, findings, history, help, troubleshooting.</w:t>
            </w:r>
          </w:p>
        </w:tc>
      </w:tr>
      <w:tr>
        <w:trPr>
          <w:cantSplit/>
        </w:trPr>
        <w:tc>
          <w:tcPr>
            <w:tcW w:type="dxa" w:w="648"/>
            <w:tcMar>
              <w:top w:w="90" w:type="dxa"/>
              <w:start w:w="100" w:type="dxa"/>
              <w:bottom w:w="90" w:type="dxa"/>
              <w:end w:w="100" w:type="dxa"/>
            </w:tcMar>
          </w:tcPr>
          <w:p>
            <w:pPr>
              <w:keepNext w:val="0"/>
            </w:pPr>
            <w:r>
              <w:rPr>
                <w:sz w:val="18"/>
              </w:rPr>
              <w:t>06</w:t>
            </w:r>
          </w:p>
        </w:tc>
        <w:tc>
          <w:tcPr>
            <w:tcW w:type="dxa" w:w="2520"/>
            <w:tcMar>
              <w:top w:w="90" w:type="dxa"/>
              <w:start w:w="100" w:type="dxa"/>
              <w:bottom w:w="90" w:type="dxa"/>
              <w:end w:w="100" w:type="dxa"/>
            </w:tcMar>
          </w:tcPr>
          <w:p>
            <w:pPr>
              <w:keepNext w:val="0"/>
            </w:pPr>
            <w:r>
              <w:rPr>
                <w:sz w:val="18"/>
              </w:rPr>
              <w:t>Team GitHub &amp; Repository Setup Quickstart</w:t>
            </w:r>
          </w:p>
        </w:tc>
        <w:tc>
          <w:tcPr>
            <w:tcW w:type="dxa" w:w="2232"/>
            <w:tcMar>
              <w:top w:w="90" w:type="dxa"/>
              <w:start w:w="100" w:type="dxa"/>
              <w:bottom w:w="90" w:type="dxa"/>
              <w:end w:w="100" w:type="dxa"/>
            </w:tcMar>
          </w:tcPr>
          <w:p>
            <w:pPr>
              <w:keepNext w:val="0"/>
            </w:pPr>
            <w:r>
              <w:rPr>
                <w:sz w:val="18"/>
              </w:rPr>
              <w:t>Student team</w:t>
            </w:r>
          </w:p>
        </w:tc>
        <w:tc>
          <w:tcPr>
            <w:tcW w:type="dxa" w:w="4536"/>
            <w:tcMar>
              <w:top w:w="90" w:type="dxa"/>
              <w:start w:w="100" w:type="dxa"/>
              <w:bottom w:w="90" w:type="dxa"/>
              <w:end w:w="100" w:type="dxa"/>
            </w:tcMar>
          </w:tcPr>
          <w:p>
            <w:pPr>
              <w:keepNext w:val="0"/>
            </w:pPr>
            <w:r>
              <w:rPr>
                <w:sz w:val="18"/>
              </w:rPr>
              <w:t>Fast, controlled team repository onboarding and GitHub authorization/verification troubleshooting.</w:t>
            </w:r>
          </w:p>
        </w:tc>
      </w:tr>
      <w:tr>
        <w:trPr>
          <w:cantSplit/>
        </w:trPr>
        <w:tc>
          <w:tcPr>
            <w:tcW w:type="dxa" w:w="648"/>
            <w:tcMar>
              <w:top w:w="90" w:type="dxa"/>
              <w:start w:w="100" w:type="dxa"/>
              <w:bottom w:w="90" w:type="dxa"/>
              <w:end w:w="100" w:type="dxa"/>
            </w:tcMar>
          </w:tcPr>
          <w:p>
            <w:pPr>
              <w:keepNext w:val="0"/>
            </w:pPr>
            <w:r>
              <w:rPr>
                <w:sz w:val="18"/>
              </w:rPr>
              <w:t>07</w:t>
            </w:r>
          </w:p>
        </w:tc>
        <w:tc>
          <w:tcPr>
            <w:tcW w:type="dxa" w:w="2520"/>
            <w:tcMar>
              <w:top w:w="90" w:type="dxa"/>
              <w:start w:w="100" w:type="dxa"/>
              <w:bottom w:w="90" w:type="dxa"/>
              <w:end w:w="100" w:type="dxa"/>
            </w:tcMar>
          </w:tcPr>
          <w:p>
            <w:pPr>
              <w:keepNext w:val="0"/>
            </w:pPr>
            <w:r>
              <w:rPr>
                <w:sz w:val="18"/>
              </w:rPr>
              <w:t>Student Cheat Sheet / Quick Reference</w:t>
            </w:r>
          </w:p>
        </w:tc>
        <w:tc>
          <w:tcPr>
            <w:tcW w:type="dxa" w:w="2232"/>
            <w:tcMar>
              <w:top w:w="90" w:type="dxa"/>
              <w:start w:w="100" w:type="dxa"/>
              <w:bottom w:w="90" w:type="dxa"/>
              <w:end w:w="100" w:type="dxa"/>
            </w:tcMar>
          </w:tcPr>
          <w:p>
            <w:pPr>
              <w:keepNext w:val="0"/>
            </w:pPr>
            <w:r>
              <w:rPr>
                <w:sz w:val="18"/>
              </w:rPr>
              <w:t>Student</w:t>
            </w:r>
          </w:p>
        </w:tc>
        <w:tc>
          <w:tcPr>
            <w:tcW w:type="dxa" w:w="4536"/>
            <w:tcMar>
              <w:top w:w="90" w:type="dxa"/>
              <w:start w:w="100" w:type="dxa"/>
              <w:bottom w:w="90" w:type="dxa"/>
              <w:end w:w="100" w:type="dxa"/>
            </w:tcMar>
          </w:tcPr>
          <w:p>
            <w:pPr>
              <w:keepNext w:val="0"/>
            </w:pPr>
            <w:r>
              <w:rPr>
                <w:sz w:val="18"/>
              </w:rPr>
              <w:t>Compact review-choice, recommendation, findings, history, and troubleshooting reference for normal use.</w:t>
            </w:r>
          </w:p>
        </w:tc>
      </w:tr>
      <w:tr>
        <w:trPr>
          <w:cantSplit/>
        </w:trPr>
        <w:tc>
          <w:tcPr>
            <w:tcW w:type="dxa" w:w="648"/>
            <w:tcMar>
              <w:top w:w="90" w:type="dxa"/>
              <w:start w:w="100" w:type="dxa"/>
              <w:bottom w:w="90" w:type="dxa"/>
              <w:end w:w="100" w:type="dxa"/>
            </w:tcMar>
          </w:tcPr>
          <w:p>
            <w:pPr>
              <w:keepNext w:val="0"/>
            </w:pPr>
            <w:r>
              <w:rPr>
                <w:sz w:val="18"/>
              </w:rPr>
              <w:t>08</w:t>
            </w:r>
          </w:p>
        </w:tc>
        <w:tc>
          <w:tcPr>
            <w:tcW w:type="dxa" w:w="2520"/>
            <w:tcMar>
              <w:top w:w="90" w:type="dxa"/>
              <w:start w:w="100" w:type="dxa"/>
              <w:bottom w:w="90" w:type="dxa"/>
              <w:end w:w="100" w:type="dxa"/>
            </w:tcMar>
          </w:tcPr>
          <w:p>
            <w:pPr>
              <w:keepNext w:val="0"/>
            </w:pPr>
            <w:r>
              <w:rPr>
                <w:sz w:val="18"/>
              </w:rPr>
              <w:t>Azure Operations CLI User Guide</w:t>
            </w:r>
          </w:p>
        </w:tc>
        <w:tc>
          <w:tcPr>
            <w:tcW w:type="dxa" w:w="2232"/>
            <w:tcMar>
              <w:top w:w="90" w:type="dxa"/>
              <w:start w:w="100" w:type="dxa"/>
              <w:bottom w:w="90" w:type="dxa"/>
              <w:end w:w="100" w:type="dxa"/>
            </w:tcMar>
          </w:tcPr>
          <w:p>
            <w:pPr>
              <w:keepNext w:val="0"/>
            </w:pPr>
            <w:r>
              <w:rPr>
                <w:sz w:val="18"/>
              </w:rPr>
              <w:t>Production operator / administrator</w:t>
            </w:r>
          </w:p>
        </w:tc>
        <w:tc>
          <w:tcPr>
            <w:tcW w:type="dxa" w:w="4536"/>
            <w:tcMar>
              <w:top w:w="90" w:type="dxa"/>
              <w:start w:w="100" w:type="dxa"/>
              <w:bottom w:w="90" w:type="dxa"/>
              <w:end w:w="100" w:type="dxa"/>
            </w:tcMar>
          </w:tcPr>
          <w:p>
            <w:pPr>
              <w:keepNext w:val="0"/>
            </w:pPr>
            <w:r>
              <w:rPr>
                <w:sz w:val="18"/>
              </w:rPr>
              <w:t>Every CLI command and option, healthy output, PASS/WARN/FAIL interpretation, examples, scale guardrails, post-deploy usage.</w:t>
            </w:r>
          </w:p>
        </w:tc>
      </w:tr>
      <w:tr>
        <w:trPr>
          <w:cantSplit/>
        </w:trPr>
        <w:tc>
          <w:tcPr>
            <w:tcW w:type="dxa" w:w="648"/>
            <w:tcMar>
              <w:top w:w="90" w:type="dxa"/>
              <w:start w:w="100" w:type="dxa"/>
              <w:bottom w:w="90" w:type="dxa"/>
              <w:end w:w="100" w:type="dxa"/>
            </w:tcMar>
          </w:tcPr>
          <w:p>
            <w:pPr>
              <w:keepNext w:val="0"/>
            </w:pPr>
            <w:r>
              <w:rPr>
                <w:sz w:val="18"/>
              </w:rPr>
              <w:t>09</w:t>
            </w:r>
          </w:p>
        </w:tc>
        <w:tc>
          <w:tcPr>
            <w:tcW w:type="dxa" w:w="2520"/>
            <w:tcMar>
              <w:top w:w="90" w:type="dxa"/>
              <w:start w:w="100" w:type="dxa"/>
              <w:bottom w:w="90" w:type="dxa"/>
              <w:end w:w="100" w:type="dxa"/>
            </w:tcMar>
          </w:tcPr>
          <w:p>
            <w:pPr>
              <w:keepNext w:val="0"/>
            </w:pPr>
            <w:r>
              <w:rPr>
                <w:sz w:val="18"/>
              </w:rPr>
              <w:t>Production Operations Runbook</w:t>
            </w:r>
          </w:p>
        </w:tc>
        <w:tc>
          <w:tcPr>
            <w:tcW w:type="dxa" w:w="2232"/>
            <w:tcMar>
              <w:top w:w="90" w:type="dxa"/>
              <w:start w:w="100" w:type="dxa"/>
              <w:bottom w:w="90" w:type="dxa"/>
              <w:end w:w="100" w:type="dxa"/>
            </w:tcMar>
          </w:tcPr>
          <w:p>
            <w:pPr>
              <w:keepNext w:val="0"/>
            </w:pPr>
            <w:r>
              <w:rPr>
                <w:sz w:val="18"/>
              </w:rPr>
              <w:t>Production operator / incident lead</w:t>
            </w:r>
          </w:p>
        </w:tc>
        <w:tc>
          <w:tcPr>
            <w:tcW w:type="dxa" w:w="4536"/>
            <w:tcMar>
              <w:top w:w="90" w:type="dxa"/>
              <w:start w:w="100" w:type="dxa"/>
              <w:bottom w:w="90" w:type="dxa"/>
              <w:end w:w="100" w:type="dxa"/>
            </w:tcMar>
          </w:tcPr>
          <w:p>
            <w:pPr>
              <w:keepNext w:val="0"/>
            </w:pPr>
            <w:r>
              <w:rPr>
                <w:sz w:val="18"/>
              </w:rPr>
              <w:t>Symptom-first monitoring, incident triage, auth/GitHub/database/runtime/OpenAI/cost/drift cases, evidence capture, return to service.</w:t>
            </w:r>
          </w:p>
        </w:tc>
      </w:tr>
      <w:tr>
        <w:trPr>
          <w:cantSplit/>
        </w:trPr>
        <w:tc>
          <w:tcPr>
            <w:tcW w:type="dxa" w:w="648"/>
            <w:tcMar>
              <w:top w:w="90" w:type="dxa"/>
              <w:start w:w="100" w:type="dxa"/>
              <w:bottom w:w="90" w:type="dxa"/>
              <w:end w:w="100" w:type="dxa"/>
            </w:tcMar>
          </w:tcPr>
          <w:p>
            <w:pPr>
              <w:keepNext w:val="0"/>
            </w:pPr>
            <w:r>
              <w:rPr>
                <w:sz w:val="18"/>
              </w:rPr>
              <w:t>10</w:t>
            </w:r>
          </w:p>
        </w:tc>
        <w:tc>
          <w:tcPr>
            <w:tcW w:type="dxa" w:w="2520"/>
            <w:tcMar>
              <w:top w:w="90" w:type="dxa"/>
              <w:start w:w="100" w:type="dxa"/>
              <w:bottom w:w="90" w:type="dxa"/>
              <w:end w:w="100" w:type="dxa"/>
            </w:tcMar>
          </w:tcPr>
          <w:p>
            <w:pPr>
              <w:keepNext w:val="0"/>
            </w:pPr>
            <w:r>
              <w:rPr>
                <w:sz w:val="18"/>
              </w:rPr>
              <w:t>Semester Administration &amp; Course Operations Guide</w:t>
            </w:r>
          </w:p>
        </w:tc>
        <w:tc>
          <w:tcPr>
            <w:tcW w:type="dxa" w:w="2232"/>
            <w:tcMar>
              <w:top w:w="90" w:type="dxa"/>
              <w:start w:w="100" w:type="dxa"/>
              <w:bottom w:w="90" w:type="dxa"/>
              <w:end w:w="100" w:type="dxa"/>
            </w:tcMar>
          </w:tcPr>
          <w:p>
            <w:pPr>
              <w:keepNext w:val="0"/>
            </w:pPr>
            <w:r>
              <w:rPr>
                <w:sz w:val="18"/>
              </w:rPr>
              <w:t>Course owner / instructor</w:t>
            </w:r>
          </w:p>
        </w:tc>
        <w:tc>
          <w:tcPr>
            <w:tcW w:type="dxa" w:w="4536"/>
            <w:tcMar>
              <w:top w:w="90" w:type="dxa"/>
              <w:start w:w="100" w:type="dxa"/>
              <w:bottom w:w="90" w:type="dxa"/>
              <w:end w:w="100" w:type="dxa"/>
            </w:tcMar>
          </w:tcPr>
          <w:p>
            <w:pPr>
              <w:keepNext w:val="0"/>
            </w:pPr>
            <w:r>
              <w:rPr>
                <w:sz w:val="18"/>
              </w:rPr>
              <w:t>Term/section creation, roster, teams, A1–A6 release controls, teaching staff, activation, mid-semester changes, archive.</w:t>
            </w:r>
          </w:p>
        </w:tc>
      </w:tr>
      <w:tr>
        <w:trPr>
          <w:cantSplit/>
        </w:trPr>
        <w:tc>
          <w:tcPr>
            <w:tcW w:type="dxa" w:w="648"/>
            <w:tcMar>
              <w:top w:w="90" w:type="dxa"/>
              <w:start w:w="100" w:type="dxa"/>
              <w:bottom w:w="90" w:type="dxa"/>
              <w:end w:w="100" w:type="dxa"/>
            </w:tcMar>
          </w:tcPr>
          <w:p>
            <w:pPr>
              <w:keepNext w:val="0"/>
            </w:pPr>
            <w:r>
              <w:rPr>
                <w:sz w:val="18"/>
              </w:rPr>
              <w:t>11</w:t>
            </w:r>
          </w:p>
        </w:tc>
        <w:tc>
          <w:tcPr>
            <w:tcW w:type="dxa" w:w="2520"/>
            <w:tcMar>
              <w:top w:w="90" w:type="dxa"/>
              <w:start w:w="100" w:type="dxa"/>
              <w:bottom w:w="90" w:type="dxa"/>
              <w:end w:w="100" w:type="dxa"/>
            </w:tcMar>
          </w:tcPr>
          <w:p>
            <w:pPr>
              <w:keepNext w:val="0"/>
            </w:pPr>
            <w:r>
              <w:rPr>
                <w:sz w:val="18"/>
              </w:rPr>
              <w:t>Backup, Recovery &amp; Disaster Recovery Runbook</w:t>
            </w:r>
          </w:p>
        </w:tc>
        <w:tc>
          <w:tcPr>
            <w:tcW w:type="dxa" w:w="2232"/>
            <w:tcMar>
              <w:top w:w="90" w:type="dxa"/>
              <w:start w:w="100" w:type="dxa"/>
              <w:bottom w:w="90" w:type="dxa"/>
              <w:end w:w="100" w:type="dxa"/>
            </w:tcMar>
          </w:tcPr>
          <w:p>
            <w:pPr>
              <w:keepNext w:val="0"/>
            </w:pPr>
            <w:r>
              <w:rPr>
                <w:sz w:val="18"/>
              </w:rPr>
              <w:t>Technical administrator / recovery lead</w:t>
            </w:r>
          </w:p>
        </w:tc>
        <w:tc>
          <w:tcPr>
            <w:tcW w:type="dxa" w:w="4536"/>
            <w:tcMar>
              <w:top w:w="90" w:type="dxa"/>
              <w:start w:w="100" w:type="dxa"/>
              <w:bottom w:w="90" w:type="dxa"/>
              <w:end w:w="100" w:type="dxa"/>
            </w:tcMar>
          </w:tcPr>
          <w:p>
            <w:pPr>
              <w:keepNext w:val="0"/>
            </w:pPr>
            <w:r>
              <w:rPr>
                <w:sz w:val="18"/>
              </w:rPr>
              <w:t>Rollback, PostgreSQL PITR, schema/data validation, secret/callback recovery, disaster scenarios, DR exercises, recovery acceptance.</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1F4E79"/>
                <w:sz w:val="18"/>
              </w:rPr>
              <w:t>DOCUMENT 01</w:t>
              <w:br/>
            </w:r>
            <w:r>
              <w:rPr>
                <w:sz w:val="20"/>
              </w:rPr>
              <w:t>Manual 01 is the active Executive Overview for leadership and adoption. This Master Manual remains the complete front door and documentation index; neither document supersedes the other.</w:t>
            </w:r>
          </w:p>
        </w:tc>
      </w:tr>
    </w:tbl>
    <w:p>
      <w:pPr>
        <w:spacing w:after="20"/>
      </w:pPr>
    </w:p>
    <w:p>
      <w:pPr>
        <w:pStyle w:val="Heading1"/>
      </w:pPr>
      <w:r>
        <w:t>12. Scenario-based document finder</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3600"/>
            <w:shd w:fill="122536"/>
            <w:tcMar>
              <w:top w:w="90" w:type="dxa"/>
              <w:start w:w="100" w:type="dxa"/>
              <w:bottom w:w="90" w:type="dxa"/>
              <w:end w:w="100" w:type="dxa"/>
            </w:tcMar>
          </w:tcPr>
          <w:p>
            <w:pPr>
              <w:keepNext w:val="0"/>
            </w:pPr>
            <w:r>
              <w:rPr>
                <w:b/>
                <w:color w:val="FFFFFF"/>
                <w:sz w:val="18"/>
              </w:rPr>
              <w:t>If you are trying to…</w:t>
            </w:r>
          </w:p>
        </w:tc>
        <w:tc>
          <w:tcPr>
            <w:tcW w:type="dxa" w:w="3096"/>
            <w:shd w:fill="122536"/>
            <w:tcMar>
              <w:top w:w="90" w:type="dxa"/>
              <w:start w:w="100" w:type="dxa"/>
              <w:bottom w:w="90" w:type="dxa"/>
              <w:end w:w="100" w:type="dxa"/>
            </w:tcMar>
          </w:tcPr>
          <w:p>
            <w:pPr>
              <w:keepNext w:val="0"/>
            </w:pPr>
            <w:r>
              <w:rPr>
                <w:b/>
                <w:color w:val="FFFFFF"/>
                <w:sz w:val="18"/>
              </w:rPr>
              <w:t>Start here</w:t>
            </w:r>
          </w:p>
        </w:tc>
        <w:tc>
          <w:tcPr>
            <w:tcW w:type="dxa" w:w="3312"/>
            <w:shd w:fill="122536"/>
            <w:tcMar>
              <w:top w:w="90" w:type="dxa"/>
              <w:start w:w="100" w:type="dxa"/>
              <w:bottom w:w="90" w:type="dxa"/>
              <w:end w:w="100" w:type="dxa"/>
            </w:tcMar>
          </w:tcPr>
          <w:p>
            <w:pPr>
              <w:keepNext w:val="0"/>
            </w:pPr>
            <w:r>
              <w:rPr>
                <w:b/>
                <w:color w:val="FFFFFF"/>
                <w:sz w:val="18"/>
              </w:rPr>
              <w:t>Then use</w:t>
            </w:r>
          </w:p>
        </w:tc>
      </w:tr>
      <w:tr>
        <w:trPr>
          <w:cantSplit/>
        </w:trPr>
        <w:tc>
          <w:tcPr>
            <w:tcW w:type="dxa" w:w="3600"/>
            <w:tcMar>
              <w:top w:w="90" w:type="dxa"/>
              <w:start w:w="100" w:type="dxa"/>
              <w:bottom w:w="90" w:type="dxa"/>
              <w:end w:w="100" w:type="dxa"/>
            </w:tcMar>
          </w:tcPr>
          <w:p>
            <w:pPr>
              <w:keepNext w:val="0"/>
            </w:pPr>
            <w:r>
              <w:rPr>
                <w:sz w:val="18"/>
              </w:rPr>
              <w:t>Understand what Studio is and why it exists</w:t>
            </w:r>
          </w:p>
        </w:tc>
        <w:tc>
          <w:tcPr>
            <w:tcW w:type="dxa" w:w="3096"/>
            <w:tcMar>
              <w:top w:w="90" w:type="dxa"/>
              <w:start w:w="100" w:type="dxa"/>
              <w:bottom w:w="90" w:type="dxa"/>
              <w:end w:w="100" w:type="dxa"/>
            </w:tcMar>
          </w:tcPr>
          <w:p>
            <w:pPr>
              <w:keepNext w:val="0"/>
            </w:pPr>
            <w:r>
              <w:rPr>
                <w:sz w:val="18"/>
              </w:rPr>
              <w:t>00 Master Manual</w:t>
            </w:r>
          </w:p>
        </w:tc>
        <w:tc>
          <w:tcPr>
            <w:tcW w:type="dxa" w:w="3312"/>
            <w:tcMar>
              <w:top w:w="90" w:type="dxa"/>
              <w:start w:w="100" w:type="dxa"/>
              <w:bottom w:w="90" w:type="dxa"/>
              <w:end w:w="100" w:type="dxa"/>
            </w:tcMar>
          </w:tcPr>
          <w:p>
            <w:pPr>
              <w:keepNext w:val="0"/>
            </w:pPr>
            <w:r>
              <w:rPr>
                <w:sz w:val="18"/>
              </w:rPr>
              <w:t>03 for deep architecture; 05/04 for role-specific use</w:t>
            </w:r>
          </w:p>
        </w:tc>
      </w:tr>
      <w:tr>
        <w:trPr>
          <w:cantSplit/>
        </w:trPr>
        <w:tc>
          <w:tcPr>
            <w:tcW w:type="dxa" w:w="3600"/>
            <w:tcMar>
              <w:top w:w="90" w:type="dxa"/>
              <w:start w:w="100" w:type="dxa"/>
              <w:bottom w:w="90" w:type="dxa"/>
              <w:end w:w="100" w:type="dxa"/>
            </w:tcMar>
          </w:tcPr>
          <w:p>
            <w:pPr>
              <w:keepNext w:val="0"/>
            </w:pPr>
            <w:r>
              <w:rPr>
                <w:sz w:val="18"/>
              </w:rPr>
              <w:t>Get a student/team connected for the first time</w:t>
            </w:r>
          </w:p>
        </w:tc>
        <w:tc>
          <w:tcPr>
            <w:tcW w:type="dxa" w:w="3096"/>
            <w:tcMar>
              <w:top w:w="90" w:type="dxa"/>
              <w:start w:w="100" w:type="dxa"/>
              <w:bottom w:w="90" w:type="dxa"/>
              <w:end w:w="100" w:type="dxa"/>
            </w:tcMar>
          </w:tcPr>
          <w:p>
            <w:pPr>
              <w:keepNext w:val="0"/>
            </w:pPr>
            <w:r>
              <w:rPr>
                <w:sz w:val="18"/>
              </w:rPr>
              <w:t>06 Team Setup Quickstart</w:t>
            </w:r>
          </w:p>
        </w:tc>
        <w:tc>
          <w:tcPr>
            <w:tcW w:type="dxa" w:w="3312"/>
            <w:tcMar>
              <w:top w:w="90" w:type="dxa"/>
              <w:start w:w="100" w:type="dxa"/>
              <w:bottom w:w="90" w:type="dxa"/>
              <w:end w:w="100" w:type="dxa"/>
            </w:tcMar>
          </w:tcPr>
          <w:p>
            <w:pPr>
              <w:keepNext w:val="0"/>
            </w:pPr>
            <w:r>
              <w:rPr>
                <w:sz w:val="18"/>
              </w:rPr>
              <w:t>05 Student User Guide for full context</w:t>
            </w:r>
          </w:p>
        </w:tc>
      </w:tr>
      <w:tr>
        <w:trPr>
          <w:cantSplit/>
        </w:trPr>
        <w:tc>
          <w:tcPr>
            <w:tcW w:type="dxa" w:w="3600"/>
            <w:tcMar>
              <w:top w:w="90" w:type="dxa"/>
              <w:start w:w="100" w:type="dxa"/>
              <w:bottom w:w="90" w:type="dxa"/>
              <w:end w:w="100" w:type="dxa"/>
            </w:tcMar>
          </w:tcPr>
          <w:p>
            <w:pPr>
              <w:keepNext w:val="0"/>
            </w:pPr>
            <w:r>
              <w:rPr>
                <w:sz w:val="18"/>
              </w:rPr>
              <w:t>Choose between Board, Focused, and Review Findings</w:t>
            </w:r>
          </w:p>
        </w:tc>
        <w:tc>
          <w:tcPr>
            <w:tcW w:type="dxa" w:w="3096"/>
            <w:tcMar>
              <w:top w:w="90" w:type="dxa"/>
              <w:start w:w="100" w:type="dxa"/>
              <w:bottom w:w="90" w:type="dxa"/>
              <w:end w:w="100" w:type="dxa"/>
            </w:tcMar>
          </w:tcPr>
          <w:p>
            <w:pPr>
              <w:keepNext w:val="0"/>
            </w:pPr>
            <w:r>
              <w:rPr>
                <w:sz w:val="18"/>
              </w:rPr>
              <w:t>07 Student Cheat Sheet</w:t>
            </w:r>
          </w:p>
        </w:tc>
        <w:tc>
          <w:tcPr>
            <w:tcW w:type="dxa" w:w="3312"/>
            <w:tcMar>
              <w:top w:w="90" w:type="dxa"/>
              <w:start w:w="100" w:type="dxa"/>
              <w:bottom w:w="90" w:type="dxa"/>
              <w:end w:w="100" w:type="dxa"/>
            </w:tcMar>
          </w:tcPr>
          <w:p>
            <w:pPr>
              <w:keepNext w:val="0"/>
            </w:pPr>
            <w:r>
              <w:rPr>
                <w:sz w:val="18"/>
              </w:rPr>
              <w:t>05 for complete examples and review behavior</w:t>
            </w:r>
          </w:p>
        </w:tc>
      </w:tr>
      <w:tr>
        <w:trPr>
          <w:cantSplit/>
        </w:trPr>
        <w:tc>
          <w:tcPr>
            <w:tcW w:type="dxa" w:w="3600"/>
            <w:tcMar>
              <w:top w:w="90" w:type="dxa"/>
              <w:start w:w="100" w:type="dxa"/>
              <w:bottom w:w="90" w:type="dxa"/>
              <w:end w:w="100" w:type="dxa"/>
            </w:tcMar>
          </w:tcPr>
          <w:p>
            <w:pPr>
              <w:keepNext w:val="0"/>
            </w:pPr>
            <w:r>
              <w:rPr>
                <w:sz w:val="18"/>
              </w:rPr>
              <w:t>Support a student who says Studio “got it wrong”</w:t>
            </w:r>
          </w:p>
        </w:tc>
        <w:tc>
          <w:tcPr>
            <w:tcW w:type="dxa" w:w="3096"/>
            <w:tcMar>
              <w:top w:w="90" w:type="dxa"/>
              <w:start w:w="100" w:type="dxa"/>
              <w:bottom w:w="90" w:type="dxa"/>
              <w:end w:w="100" w:type="dxa"/>
            </w:tcMar>
          </w:tcPr>
          <w:p>
            <w:pPr>
              <w:keepNext w:val="0"/>
            </w:pPr>
            <w:r>
              <w:rPr>
                <w:sz w:val="18"/>
              </w:rPr>
              <w:t>04 Instructor Handbook</w:t>
            </w:r>
          </w:p>
        </w:tc>
        <w:tc>
          <w:tcPr>
            <w:tcW w:type="dxa" w:w="3312"/>
            <w:tcMar>
              <w:top w:w="90" w:type="dxa"/>
              <w:start w:w="100" w:type="dxa"/>
              <w:bottom w:w="90" w:type="dxa"/>
              <w:end w:w="100" w:type="dxa"/>
            </w:tcMar>
          </w:tcPr>
          <w:p>
            <w:pPr>
              <w:keepNext w:val="0"/>
            </w:pPr>
            <w:r>
              <w:rPr>
                <w:sz w:val="18"/>
              </w:rPr>
              <w:t>05 for the student challenge/correction model</w:t>
            </w:r>
          </w:p>
        </w:tc>
      </w:tr>
      <w:tr>
        <w:trPr>
          <w:cantSplit/>
        </w:trPr>
        <w:tc>
          <w:tcPr>
            <w:tcW w:type="dxa" w:w="3600"/>
            <w:tcMar>
              <w:top w:w="90" w:type="dxa"/>
              <w:start w:w="100" w:type="dxa"/>
              <w:bottom w:w="90" w:type="dxa"/>
              <w:end w:w="100" w:type="dxa"/>
            </w:tcMar>
          </w:tcPr>
          <w:p>
            <w:pPr>
              <w:keepNext w:val="0"/>
            </w:pPr>
            <w:r>
              <w:rPr>
                <w:sz w:val="18"/>
              </w:rPr>
              <w:t>Prepare the semester before students arrive</w:t>
            </w:r>
          </w:p>
        </w:tc>
        <w:tc>
          <w:tcPr>
            <w:tcW w:type="dxa" w:w="3096"/>
            <w:tcMar>
              <w:top w:w="90" w:type="dxa"/>
              <w:start w:w="100" w:type="dxa"/>
              <w:bottom w:w="90" w:type="dxa"/>
              <w:end w:w="100" w:type="dxa"/>
            </w:tcMar>
          </w:tcPr>
          <w:p>
            <w:pPr>
              <w:keepNext w:val="0"/>
            </w:pPr>
            <w:r>
              <w:rPr>
                <w:sz w:val="18"/>
              </w:rPr>
              <w:t>10 Semester Administration</w:t>
            </w:r>
          </w:p>
        </w:tc>
        <w:tc>
          <w:tcPr>
            <w:tcW w:type="dxa" w:w="3312"/>
            <w:tcMar>
              <w:top w:w="90" w:type="dxa"/>
              <w:start w:w="100" w:type="dxa"/>
              <w:bottom w:w="90" w:type="dxa"/>
              <w:end w:w="100" w:type="dxa"/>
            </w:tcMar>
          </w:tcPr>
          <w:p>
            <w:pPr>
              <w:keepNext w:val="0"/>
            </w:pPr>
            <w:r>
              <w:rPr>
                <w:sz w:val="18"/>
              </w:rPr>
              <w:t>04 for daily teaching-staff use</w:t>
            </w:r>
          </w:p>
        </w:tc>
      </w:tr>
      <w:tr>
        <w:trPr>
          <w:cantSplit/>
        </w:trPr>
        <w:tc>
          <w:tcPr>
            <w:tcW w:type="dxa" w:w="3600"/>
            <w:tcMar>
              <w:top w:w="90" w:type="dxa"/>
              <w:start w:w="100" w:type="dxa"/>
              <w:bottom w:w="90" w:type="dxa"/>
              <w:end w:w="100" w:type="dxa"/>
            </w:tcMar>
          </w:tcPr>
          <w:p>
            <w:pPr>
              <w:keepNext w:val="0"/>
            </w:pPr>
            <w:r>
              <w:rPr>
                <w:sz w:val="18"/>
              </w:rPr>
              <w:t>Install a new institutional deployment</w:t>
            </w:r>
          </w:p>
        </w:tc>
        <w:tc>
          <w:tcPr>
            <w:tcW w:type="dxa" w:w="3096"/>
            <w:tcMar>
              <w:top w:w="90" w:type="dxa"/>
              <w:start w:w="100" w:type="dxa"/>
              <w:bottom w:w="90" w:type="dxa"/>
              <w:end w:w="100" w:type="dxa"/>
            </w:tcMar>
          </w:tcPr>
          <w:p>
            <w:pPr>
              <w:keepNext w:val="0"/>
            </w:pPr>
            <w:r>
              <w:rPr>
                <w:sz w:val="18"/>
              </w:rPr>
              <w:t>02 Installation &amp; Administration</w:t>
            </w:r>
          </w:p>
        </w:tc>
        <w:tc>
          <w:tcPr>
            <w:tcW w:type="dxa" w:w="3312"/>
            <w:tcMar>
              <w:top w:w="90" w:type="dxa"/>
              <w:start w:w="100" w:type="dxa"/>
              <w:bottom w:w="90" w:type="dxa"/>
              <w:end w:w="100" w:type="dxa"/>
            </w:tcMar>
          </w:tcPr>
          <w:p>
            <w:pPr>
              <w:keepNext w:val="0"/>
            </w:pPr>
            <w:r>
              <w:rPr>
                <w:sz w:val="18"/>
              </w:rPr>
              <w:t>03 Architecture; 11 for recovery readiness</w:t>
            </w:r>
          </w:p>
        </w:tc>
      </w:tr>
      <w:tr>
        <w:trPr>
          <w:cantSplit/>
        </w:trPr>
        <w:tc>
          <w:tcPr>
            <w:tcW w:type="dxa" w:w="3600"/>
            <w:tcMar>
              <w:top w:w="90" w:type="dxa"/>
              <w:start w:w="100" w:type="dxa"/>
              <w:bottom w:w="90" w:type="dxa"/>
              <w:end w:w="100" w:type="dxa"/>
            </w:tcMar>
          </w:tcPr>
          <w:p>
            <w:pPr>
              <w:keepNext w:val="0"/>
            </w:pPr>
            <w:r>
              <w:rPr>
                <w:sz w:val="18"/>
              </w:rPr>
              <w:t>Understand why an installation step exists</w:t>
            </w:r>
          </w:p>
        </w:tc>
        <w:tc>
          <w:tcPr>
            <w:tcW w:type="dxa" w:w="3096"/>
            <w:tcMar>
              <w:top w:w="90" w:type="dxa"/>
              <w:start w:w="100" w:type="dxa"/>
              <w:bottom w:w="90" w:type="dxa"/>
              <w:end w:w="100" w:type="dxa"/>
            </w:tcMar>
          </w:tcPr>
          <w:p>
            <w:pPr>
              <w:keepNext w:val="0"/>
            </w:pPr>
            <w:r>
              <w:rPr>
                <w:sz w:val="18"/>
              </w:rPr>
              <w:t>03 Architecture &amp; Detailed Design</w:t>
            </w:r>
          </w:p>
        </w:tc>
        <w:tc>
          <w:tcPr>
            <w:tcW w:type="dxa" w:w="3312"/>
            <w:tcMar>
              <w:top w:w="90" w:type="dxa"/>
              <w:start w:w="100" w:type="dxa"/>
              <w:bottom w:w="90" w:type="dxa"/>
              <w:end w:w="100" w:type="dxa"/>
            </w:tcMar>
          </w:tcPr>
          <w:p>
            <w:pPr>
              <w:keepNext w:val="0"/>
            </w:pPr>
            <w:r>
              <w:rPr>
                <w:sz w:val="18"/>
              </w:rPr>
              <w:t>02 for the exact procedure</w:t>
            </w:r>
          </w:p>
        </w:tc>
      </w:tr>
      <w:tr>
        <w:trPr>
          <w:cantSplit/>
        </w:trPr>
        <w:tc>
          <w:tcPr>
            <w:tcW w:type="dxa" w:w="3600"/>
            <w:tcMar>
              <w:top w:w="90" w:type="dxa"/>
              <w:start w:w="100" w:type="dxa"/>
              <w:bottom w:w="90" w:type="dxa"/>
              <w:end w:w="100" w:type="dxa"/>
            </w:tcMar>
          </w:tcPr>
          <w:p>
            <w:pPr>
              <w:keepNext w:val="0"/>
            </w:pPr>
            <w:r>
              <w:rPr>
                <w:sz w:val="18"/>
              </w:rPr>
              <w:t>Check production quickly</w:t>
            </w:r>
          </w:p>
        </w:tc>
        <w:tc>
          <w:tcPr>
            <w:tcW w:type="dxa" w:w="3096"/>
            <w:tcMar>
              <w:top w:w="90" w:type="dxa"/>
              <w:start w:w="100" w:type="dxa"/>
              <w:bottom w:w="90" w:type="dxa"/>
              <w:end w:w="100" w:type="dxa"/>
            </w:tcMar>
          </w:tcPr>
          <w:p>
            <w:pPr>
              <w:keepNext w:val="0"/>
            </w:pPr>
            <w:r>
              <w:rPr>
                <w:sz w:val="18"/>
              </w:rPr>
              <w:t>08 CLI Guide</w:t>
            </w:r>
          </w:p>
        </w:tc>
        <w:tc>
          <w:tcPr>
            <w:tcW w:type="dxa" w:w="3312"/>
            <w:tcMar>
              <w:top w:w="90" w:type="dxa"/>
              <w:start w:w="100" w:type="dxa"/>
              <w:bottom w:w="90" w:type="dxa"/>
              <w:end w:w="100" w:type="dxa"/>
            </w:tcMar>
          </w:tcPr>
          <w:p>
            <w:pPr>
              <w:keepNext w:val="0"/>
            </w:pPr>
            <w:r>
              <w:rPr>
                <w:sz w:val="18"/>
              </w:rPr>
              <w:t>09 if any command indicates a problem</w:t>
            </w:r>
          </w:p>
        </w:tc>
      </w:tr>
      <w:tr>
        <w:trPr>
          <w:cantSplit/>
        </w:trPr>
        <w:tc>
          <w:tcPr>
            <w:tcW w:type="dxa" w:w="3600"/>
            <w:tcMar>
              <w:top w:w="90" w:type="dxa"/>
              <w:start w:w="100" w:type="dxa"/>
              <w:bottom w:w="90" w:type="dxa"/>
              <w:end w:w="100" w:type="dxa"/>
            </w:tcMar>
          </w:tcPr>
          <w:p>
            <w:pPr>
              <w:keepNext w:val="0"/>
            </w:pPr>
            <w:r>
              <w:rPr>
                <w:sz w:val="18"/>
              </w:rPr>
              <w:t>Respond to an Azure Monitor alert or outage report</w:t>
            </w:r>
          </w:p>
        </w:tc>
        <w:tc>
          <w:tcPr>
            <w:tcW w:type="dxa" w:w="3096"/>
            <w:tcMar>
              <w:top w:w="90" w:type="dxa"/>
              <w:start w:w="100" w:type="dxa"/>
              <w:bottom w:w="90" w:type="dxa"/>
              <w:end w:w="100" w:type="dxa"/>
            </w:tcMar>
          </w:tcPr>
          <w:p>
            <w:pPr>
              <w:keepNext w:val="0"/>
            </w:pPr>
            <w:r>
              <w:rPr>
                <w:sz w:val="18"/>
              </w:rPr>
              <w:t>09 Operations Runbook</w:t>
            </w:r>
          </w:p>
        </w:tc>
        <w:tc>
          <w:tcPr>
            <w:tcW w:type="dxa" w:w="3312"/>
            <w:tcMar>
              <w:top w:w="90" w:type="dxa"/>
              <w:start w:w="100" w:type="dxa"/>
              <w:bottom w:w="90" w:type="dxa"/>
              <w:end w:w="100" w:type="dxa"/>
            </w:tcMar>
          </w:tcPr>
          <w:p>
            <w:pPr>
              <w:keepNext w:val="0"/>
            </w:pPr>
            <w:r>
              <w:rPr>
                <w:sz w:val="18"/>
              </w:rPr>
              <w:t>08 for exact command details; 11 if recovery is required</w:t>
            </w:r>
          </w:p>
        </w:tc>
      </w:tr>
      <w:tr>
        <w:trPr>
          <w:cantSplit/>
        </w:trPr>
        <w:tc>
          <w:tcPr>
            <w:tcW w:type="dxa" w:w="3600"/>
            <w:tcMar>
              <w:top w:w="90" w:type="dxa"/>
              <w:start w:w="100" w:type="dxa"/>
              <w:bottom w:w="90" w:type="dxa"/>
              <w:end w:w="100" w:type="dxa"/>
            </w:tcMar>
          </w:tcPr>
          <w:p>
            <w:pPr>
              <w:keepNext w:val="0"/>
            </w:pPr>
            <w:r>
              <w:rPr>
                <w:sz w:val="18"/>
              </w:rPr>
              <w:t>Restore the database or roll back after a serious failure</w:t>
            </w:r>
          </w:p>
        </w:tc>
        <w:tc>
          <w:tcPr>
            <w:tcW w:type="dxa" w:w="3096"/>
            <w:tcMar>
              <w:top w:w="90" w:type="dxa"/>
              <w:start w:w="100" w:type="dxa"/>
              <w:bottom w:w="90" w:type="dxa"/>
              <w:end w:w="100" w:type="dxa"/>
            </w:tcMar>
          </w:tcPr>
          <w:p>
            <w:pPr>
              <w:keepNext w:val="0"/>
            </w:pPr>
            <w:r>
              <w:rPr>
                <w:sz w:val="18"/>
              </w:rPr>
              <w:t>11 Backup/Recovery/DR</w:t>
            </w:r>
          </w:p>
        </w:tc>
        <w:tc>
          <w:tcPr>
            <w:tcW w:type="dxa" w:w="3312"/>
            <w:tcMar>
              <w:top w:w="90" w:type="dxa"/>
              <w:start w:w="100" w:type="dxa"/>
              <w:bottom w:w="90" w:type="dxa"/>
              <w:end w:w="100" w:type="dxa"/>
            </w:tcMar>
          </w:tcPr>
          <w:p>
            <w:pPr>
              <w:keepNext w:val="0"/>
            </w:pPr>
            <w:r>
              <w:rPr>
                <w:sz w:val="18"/>
              </w:rPr>
              <w:t>09 for incident evidence and return-to-service context</w:t>
            </w:r>
          </w:p>
        </w:tc>
      </w:tr>
      <w:tr>
        <w:trPr>
          <w:cantSplit/>
        </w:trPr>
        <w:tc>
          <w:tcPr>
            <w:tcW w:type="dxa" w:w="3600"/>
            <w:tcMar>
              <w:top w:w="90" w:type="dxa"/>
              <w:start w:w="100" w:type="dxa"/>
              <w:bottom w:w="90" w:type="dxa"/>
              <w:end w:w="100" w:type="dxa"/>
            </w:tcMar>
          </w:tcPr>
          <w:p>
            <w:pPr>
              <w:keepNext w:val="0"/>
            </w:pPr>
            <w:r>
              <w:rPr>
                <w:sz w:val="18"/>
              </w:rPr>
              <w:t>Audit privacy/security/authority boundaries</w:t>
            </w:r>
          </w:p>
        </w:tc>
        <w:tc>
          <w:tcPr>
            <w:tcW w:type="dxa" w:w="3096"/>
            <w:tcMar>
              <w:top w:w="90" w:type="dxa"/>
              <w:start w:w="100" w:type="dxa"/>
              <w:bottom w:w="90" w:type="dxa"/>
              <w:end w:w="100" w:type="dxa"/>
            </w:tcMar>
          </w:tcPr>
          <w:p>
            <w:pPr>
              <w:keepNext w:val="0"/>
            </w:pPr>
            <w:r>
              <w:rPr>
                <w:sz w:val="18"/>
              </w:rPr>
              <w:t>03 Architecture</w:t>
            </w:r>
          </w:p>
        </w:tc>
        <w:tc>
          <w:tcPr>
            <w:tcW w:type="dxa" w:w="3312"/>
            <w:tcMar>
              <w:top w:w="90" w:type="dxa"/>
              <w:start w:w="100" w:type="dxa"/>
              <w:bottom w:w="90" w:type="dxa"/>
              <w:end w:w="100" w:type="dxa"/>
            </w:tcMar>
          </w:tcPr>
          <w:p>
            <w:pPr>
              <w:keepNext w:val="0"/>
            </w:pPr>
            <w:r>
              <w:rPr>
                <w:sz w:val="18"/>
              </w:rPr>
              <w:t>02, 04, 10, 11 as needed by boundary</w:t>
            </w:r>
          </w:p>
        </w:tc>
      </w:tr>
    </w:tbl>
    <w:p>
      <w:pPr>
        <w:spacing w:after="40"/>
      </w:pPr>
    </w:p>
    <w:p>
      <w:pPr>
        <w:pStyle w:val="Heading1"/>
      </w:pPr>
      <w:r>
        <w:t>13. Institutional adoption and governance</w:t>
      </w:r>
    </w:p>
    <w:p>
      <w:r>
        <w:t>COMP 330/474 is the flagship reference implementation, but adopting institutions may deploy and configure one or more ETIS educational capabilities for their own courses. Adoption transfers operational responsibility to the institution; it does not transfer that responsibility to students.</w:t>
      </w:r>
    </w:p>
    <w:p>
      <w:pPr>
        <w:pStyle w:val="ListBullet"/>
        <w:spacing w:after="50"/>
      </w:pPr>
      <w:r>
        <w:t>Choose and operate institutional identity, authorization, GitHub organization/App ownership, privacy policy, retention policy, AI provider/configuration, monitoring, and support ownership.</w:t>
      </w:r>
    </w:p>
    <w:p>
      <w:pPr>
        <w:pStyle w:val="ListBullet"/>
        <w:spacing w:after="50"/>
      </w:pPr>
      <w:r>
        <w:t>Define who may be Course Owner, Instructor, TA, Reviewer, technical administrator, and production operator.</w:t>
      </w:r>
    </w:p>
    <w:p>
      <w:pPr>
        <w:pStyle w:val="ListBullet"/>
        <w:spacing w:after="50"/>
      </w:pPr>
      <w:r>
        <w:t>Preserve the distinction between developmental Studio activity and formal academic evaluation.</w:t>
      </w:r>
    </w:p>
    <w:p>
      <w:pPr>
        <w:pStyle w:val="ListBullet"/>
        <w:spacing w:after="50"/>
      </w:pPr>
      <w:r>
        <w:t>Establish repository ownership and GitHub App authorization responsibilities before class starts.</w:t>
      </w:r>
    </w:p>
    <w:p>
      <w:pPr>
        <w:pStyle w:val="ListBullet"/>
        <w:spacing w:after="50"/>
      </w:pPr>
      <w:r>
        <w:t>Operate backup/recovery, alerting, cost controls, and post-deployment acceptance as real production responsibilities.</w:t>
      </w:r>
    </w:p>
    <w:p>
      <w:pPr>
        <w:pStyle w:val="ListBullet"/>
        <w:spacing w:after="50"/>
      </w:pPr>
      <w:r>
        <w:t>Adapt the course phase-gate model without implying that the COMP 330/474 six-gate sequence is the complete ETIS lifecycle.</w:t>
      </w:r>
    </w:p>
    <w:p>
      <w:pPr>
        <w:pStyle w:val="Heading1"/>
      </w:pPr>
      <w:r>
        <w:t>14. Documentation lifecycle and publishing conventions</w:t>
      </w:r>
    </w:p>
    <w:p>
      <w:r>
        <w:t>The documentation set is designed as a coordinated library. A product change is complete only when the affected operating, teaching, student, installation, architecture, and recovery documentation has been checked for impact.</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3168"/>
            <w:shd w:fill="122536"/>
            <w:tcMar>
              <w:top w:w="90" w:type="dxa"/>
              <w:start w:w="100" w:type="dxa"/>
              <w:bottom w:w="90" w:type="dxa"/>
              <w:end w:w="100" w:type="dxa"/>
            </w:tcMar>
          </w:tcPr>
          <w:p>
            <w:pPr>
              <w:keepNext w:val="0"/>
            </w:pPr>
            <w:r>
              <w:rPr>
                <w:b/>
                <w:color w:val="FFFFFF"/>
                <w:sz w:val="18"/>
              </w:rPr>
              <w:t>Change type</w:t>
            </w:r>
          </w:p>
        </w:tc>
        <w:tc>
          <w:tcPr>
            <w:tcW w:type="dxa" w:w="6768"/>
            <w:shd w:fill="122536"/>
            <w:tcMar>
              <w:top w:w="90" w:type="dxa"/>
              <w:start w:w="100" w:type="dxa"/>
              <w:bottom w:w="90" w:type="dxa"/>
              <w:end w:w="100" w:type="dxa"/>
            </w:tcMar>
          </w:tcPr>
          <w:p>
            <w:pPr>
              <w:keepNext w:val="0"/>
            </w:pPr>
            <w:r>
              <w:rPr>
                <w:b/>
                <w:color w:val="FFFFFF"/>
                <w:sz w:val="18"/>
              </w:rPr>
              <w:t>Documents that normally require review</w:t>
            </w:r>
          </w:p>
        </w:tc>
      </w:tr>
      <w:tr>
        <w:trPr>
          <w:cantSplit/>
        </w:trPr>
        <w:tc>
          <w:tcPr>
            <w:tcW w:type="dxa" w:w="3168"/>
            <w:tcMar>
              <w:top w:w="90" w:type="dxa"/>
              <w:start w:w="100" w:type="dxa"/>
              <w:bottom w:w="90" w:type="dxa"/>
              <w:end w:w="100" w:type="dxa"/>
            </w:tcMar>
          </w:tcPr>
          <w:p>
            <w:pPr>
              <w:keepNext w:val="0"/>
            </w:pPr>
            <w:r>
              <w:rPr>
                <w:sz w:val="18"/>
              </w:rPr>
              <w:t>Student UI / review behavior</w:t>
            </w:r>
          </w:p>
        </w:tc>
        <w:tc>
          <w:tcPr>
            <w:tcW w:type="dxa" w:w="6768"/>
            <w:tcMar>
              <w:top w:w="90" w:type="dxa"/>
              <w:start w:w="100" w:type="dxa"/>
              <w:bottom w:w="90" w:type="dxa"/>
              <w:end w:w="100" w:type="dxa"/>
            </w:tcMar>
          </w:tcPr>
          <w:p>
            <w:pPr>
              <w:keepNext w:val="0"/>
            </w:pPr>
            <w:r>
              <w:rPr>
                <w:sz w:val="18"/>
              </w:rPr>
              <w:t>05, 06, 07; possibly 04 and 00</w:t>
            </w:r>
          </w:p>
        </w:tc>
      </w:tr>
      <w:tr>
        <w:trPr>
          <w:cantSplit/>
        </w:trPr>
        <w:tc>
          <w:tcPr>
            <w:tcW w:type="dxa" w:w="3168"/>
            <w:tcMar>
              <w:top w:w="90" w:type="dxa"/>
              <w:start w:w="100" w:type="dxa"/>
              <w:bottom w:w="90" w:type="dxa"/>
              <w:end w:w="100" w:type="dxa"/>
            </w:tcMar>
          </w:tcPr>
          <w:p>
            <w:pPr>
              <w:keepNext w:val="0"/>
            </w:pPr>
            <w:r>
              <w:rPr>
                <w:sz w:val="18"/>
              </w:rPr>
              <w:t>Instructor / semester workflow</w:t>
            </w:r>
          </w:p>
        </w:tc>
        <w:tc>
          <w:tcPr>
            <w:tcW w:type="dxa" w:w="6768"/>
            <w:tcMar>
              <w:top w:w="90" w:type="dxa"/>
              <w:start w:w="100" w:type="dxa"/>
              <w:bottom w:w="90" w:type="dxa"/>
              <w:end w:w="100" w:type="dxa"/>
            </w:tcMar>
          </w:tcPr>
          <w:p>
            <w:pPr>
              <w:keepNext w:val="0"/>
            </w:pPr>
            <w:r>
              <w:rPr>
                <w:sz w:val="18"/>
              </w:rPr>
              <w:t>04, 10; possibly 05 and 00</w:t>
            </w:r>
          </w:p>
        </w:tc>
      </w:tr>
      <w:tr>
        <w:trPr>
          <w:cantSplit/>
        </w:trPr>
        <w:tc>
          <w:tcPr>
            <w:tcW w:type="dxa" w:w="3168"/>
            <w:tcMar>
              <w:top w:w="90" w:type="dxa"/>
              <w:start w:w="100" w:type="dxa"/>
              <w:bottom w:w="90" w:type="dxa"/>
              <w:end w:w="100" w:type="dxa"/>
            </w:tcMar>
          </w:tcPr>
          <w:p>
            <w:pPr>
              <w:keepNext w:val="0"/>
            </w:pPr>
            <w:r>
              <w:rPr>
                <w:sz w:val="18"/>
              </w:rPr>
              <w:t>Identity / GitHub onboarding</w:t>
            </w:r>
          </w:p>
        </w:tc>
        <w:tc>
          <w:tcPr>
            <w:tcW w:type="dxa" w:w="6768"/>
            <w:tcMar>
              <w:top w:w="90" w:type="dxa"/>
              <w:start w:w="100" w:type="dxa"/>
              <w:bottom w:w="90" w:type="dxa"/>
              <w:end w:w="100" w:type="dxa"/>
            </w:tcMar>
          </w:tcPr>
          <w:p>
            <w:pPr>
              <w:keepNext w:val="0"/>
            </w:pPr>
            <w:r>
              <w:rPr>
                <w:sz w:val="18"/>
              </w:rPr>
              <w:t>02, 03, 04, 05, 06, 09, 11, 00</w:t>
            </w:r>
          </w:p>
        </w:tc>
      </w:tr>
      <w:tr>
        <w:trPr>
          <w:cantSplit/>
        </w:trPr>
        <w:tc>
          <w:tcPr>
            <w:tcW w:type="dxa" w:w="3168"/>
            <w:tcMar>
              <w:top w:w="90" w:type="dxa"/>
              <w:start w:w="100" w:type="dxa"/>
              <w:bottom w:w="90" w:type="dxa"/>
              <w:end w:w="100" w:type="dxa"/>
            </w:tcMar>
          </w:tcPr>
          <w:p>
            <w:pPr>
              <w:keepNext w:val="0"/>
            </w:pPr>
            <w:r>
              <w:rPr>
                <w:sz w:val="18"/>
              </w:rPr>
              <w:t>Azure/IaC/deployment baseline</w:t>
            </w:r>
          </w:p>
        </w:tc>
        <w:tc>
          <w:tcPr>
            <w:tcW w:type="dxa" w:w="6768"/>
            <w:tcMar>
              <w:top w:w="90" w:type="dxa"/>
              <w:start w:w="100" w:type="dxa"/>
              <w:bottom w:w="90" w:type="dxa"/>
              <w:end w:w="100" w:type="dxa"/>
            </w:tcMar>
          </w:tcPr>
          <w:p>
            <w:pPr>
              <w:keepNext w:val="0"/>
            </w:pPr>
            <w:r>
              <w:rPr>
                <w:sz w:val="18"/>
              </w:rPr>
              <w:t>02, 03, 08, 09, 11, 00</w:t>
            </w:r>
          </w:p>
        </w:tc>
      </w:tr>
      <w:tr>
        <w:trPr>
          <w:cantSplit/>
        </w:trPr>
        <w:tc>
          <w:tcPr>
            <w:tcW w:type="dxa" w:w="3168"/>
            <w:tcMar>
              <w:top w:w="90" w:type="dxa"/>
              <w:start w:w="100" w:type="dxa"/>
              <w:bottom w:w="90" w:type="dxa"/>
              <w:end w:w="100" w:type="dxa"/>
            </w:tcMar>
          </w:tcPr>
          <w:p>
            <w:pPr>
              <w:keepNext w:val="0"/>
            </w:pPr>
            <w:r>
              <w:rPr>
                <w:sz w:val="18"/>
              </w:rPr>
              <w:t>CLI command behavior</w:t>
            </w:r>
          </w:p>
        </w:tc>
        <w:tc>
          <w:tcPr>
            <w:tcW w:type="dxa" w:w="6768"/>
            <w:tcMar>
              <w:top w:w="90" w:type="dxa"/>
              <w:start w:w="100" w:type="dxa"/>
              <w:bottom w:w="90" w:type="dxa"/>
              <w:end w:w="100" w:type="dxa"/>
            </w:tcMar>
          </w:tcPr>
          <w:p>
            <w:pPr>
              <w:keepNext w:val="0"/>
            </w:pPr>
            <w:r>
              <w:rPr>
                <w:sz w:val="18"/>
              </w:rPr>
              <w:t>08, 09, 11; possibly 02</w:t>
            </w:r>
          </w:p>
        </w:tc>
      </w:tr>
      <w:tr>
        <w:trPr>
          <w:cantSplit/>
        </w:trPr>
        <w:tc>
          <w:tcPr>
            <w:tcW w:type="dxa" w:w="3168"/>
            <w:tcMar>
              <w:top w:w="90" w:type="dxa"/>
              <w:start w:w="100" w:type="dxa"/>
              <w:bottom w:w="90" w:type="dxa"/>
              <w:end w:w="100" w:type="dxa"/>
            </w:tcMar>
          </w:tcPr>
          <w:p>
            <w:pPr>
              <w:keepNext w:val="0"/>
            </w:pPr>
            <w:r>
              <w:rPr>
                <w:sz w:val="18"/>
              </w:rPr>
              <w:t>Recovery / retention / archive semantics</w:t>
            </w:r>
          </w:p>
        </w:tc>
        <w:tc>
          <w:tcPr>
            <w:tcW w:type="dxa" w:w="6768"/>
            <w:tcMar>
              <w:top w:w="90" w:type="dxa"/>
              <w:start w:w="100" w:type="dxa"/>
              <w:bottom w:w="90" w:type="dxa"/>
              <w:end w:w="100" w:type="dxa"/>
            </w:tcMar>
          </w:tcPr>
          <w:p>
            <w:pPr>
              <w:keepNext w:val="0"/>
            </w:pPr>
            <w:r>
              <w:rPr>
                <w:sz w:val="18"/>
              </w:rPr>
              <w:t>03, 10, 11, 00</w:t>
            </w:r>
          </w:p>
        </w:tc>
      </w:tr>
      <w:tr>
        <w:trPr>
          <w:cantSplit/>
        </w:trPr>
        <w:tc>
          <w:tcPr>
            <w:tcW w:type="dxa" w:w="3168"/>
            <w:tcMar>
              <w:top w:w="90" w:type="dxa"/>
              <w:start w:w="100" w:type="dxa"/>
              <w:bottom w:w="90" w:type="dxa"/>
              <w:end w:w="100" w:type="dxa"/>
            </w:tcMar>
          </w:tcPr>
          <w:p>
            <w:pPr>
              <w:keepNext w:val="0"/>
            </w:pPr>
            <w:r>
              <w:rPr>
                <w:sz w:val="18"/>
              </w:rPr>
              <w:t>Product naming / ETIS suite terminology</w:t>
            </w:r>
          </w:p>
        </w:tc>
        <w:tc>
          <w:tcPr>
            <w:tcW w:type="dxa" w:w="6768"/>
            <w:tcMar>
              <w:top w:w="90" w:type="dxa"/>
              <w:start w:w="100" w:type="dxa"/>
              <w:bottom w:w="90" w:type="dxa"/>
              <w:end w:w="100" w:type="dxa"/>
            </w:tcMar>
          </w:tcPr>
          <w:p>
            <w:pPr>
              <w:keepNext w:val="0"/>
            </w:pPr>
            <w:r>
              <w:rPr>
                <w:sz w:val="18"/>
              </w:rPr>
              <w:t>All public-facing documents</w:t>
            </w:r>
          </w:p>
        </w:tc>
      </w:tr>
    </w:tbl>
    <w:p>
      <w:pPr>
        <w:spacing w:after="40"/>
      </w:pPr>
    </w:p>
    <w:p>
      <w:pPr>
        <w:pStyle w:val="ListBullet"/>
        <w:spacing w:after="50"/>
      </w:pPr>
      <w:r>
        <w:t>Use current names: ETIS Preflight, ETIS Engineering Studio, ETIS Engineering Review Center, Engineering Platform.</w:t>
      </w:r>
    </w:p>
    <w:p>
      <w:pPr>
        <w:pStyle w:val="ListBullet"/>
        <w:spacing w:after="50"/>
      </w:pPr>
      <w:r>
        <w:t>Avoid “grading AI,” “AI grader,” generic “agents,” and older Instructor Engineering Workbench terminology in current-facing material.</w:t>
      </w:r>
    </w:p>
    <w:p>
      <w:pPr>
        <w:pStyle w:val="ListBullet"/>
        <w:spacing w:after="50"/>
      </w:pPr>
      <w:r>
        <w:t>Keep screenshots tightly cropped to the instructional point and do not expose secret values.</w:t>
      </w:r>
    </w:p>
    <w:p>
      <w:pPr>
        <w:pStyle w:val="ListBullet"/>
        <w:spacing w:after="50"/>
      </w:pPr>
      <w:r>
        <w:t>Treat the repository/IaC and deployed product as authoritative for technical defaults; update documents when the accepted production baseline changes.</w:t>
      </w:r>
    </w:p>
    <w:p>
      <w:pPr>
        <w:pStyle w:val="ListBullet"/>
        <w:spacing w:after="50"/>
      </w:pPr>
      <w:r>
        <w:t>Maintain the shared ETIS visual system: dark navy header, teal accents, restrained callouts, task-oriented tables, and role-specific troubleshooting.</w:t>
      </w:r>
    </w:p>
    <w:p>
      <w:pPr>
        <w:pStyle w:val="Heading2"/>
      </w:pPr>
      <w:r>
        <w:t>Release and documentation authority</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Production defaults remain legacy reasoning and legacy planning. Shadow validator/planner/selector/realizer evaluation remains internal and does not replace student-visible authority. This release introduces no PR5 authority transfer, database migration or course-model change.</w:t>
      </w:r>
    </w:p>
    <w:p>
      <w:r>
        <w:t>All 12 manuals (00–11) have matching DOCX and regenerated PDF editions. Manual 01 is the active leadership brief; this Master Manual is the full library front door. See docs/manuals/README.md and docs/releases/v0.18.0.md for the paired inventory and release sequence.</w:t>
      </w:r>
    </w:p>
    <w:p>
      <w:pPr>
        <w:pStyle w:val="Heading1"/>
      </w:pPr>
      <w:r>
        <w:t>Appendix A - Terminology</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448"/>
            <w:shd w:fill="122536"/>
            <w:tcMar>
              <w:top w:w="90" w:type="dxa"/>
              <w:start w:w="100" w:type="dxa"/>
              <w:bottom w:w="90" w:type="dxa"/>
              <w:end w:w="100" w:type="dxa"/>
            </w:tcMar>
          </w:tcPr>
          <w:p>
            <w:pPr>
              <w:keepNext w:val="0"/>
            </w:pPr>
            <w:r>
              <w:rPr>
                <w:b/>
                <w:color w:val="FFFFFF"/>
                <w:sz w:val="18"/>
              </w:rPr>
              <w:t>Term</w:t>
            </w:r>
          </w:p>
        </w:tc>
        <w:tc>
          <w:tcPr>
            <w:tcW w:type="dxa" w:w="7416"/>
            <w:shd w:fill="122536"/>
            <w:tcMar>
              <w:top w:w="90" w:type="dxa"/>
              <w:start w:w="100" w:type="dxa"/>
              <w:bottom w:w="90" w:type="dxa"/>
              <w:end w:w="100" w:type="dxa"/>
            </w:tcMar>
          </w:tcPr>
          <w:p>
            <w:pPr>
              <w:keepNext w:val="0"/>
            </w:pPr>
            <w:r>
              <w:rPr>
                <w:b/>
                <w:color w:val="FFFFFF"/>
                <w:sz w:val="18"/>
              </w:rPr>
              <w:t>Meaning</w:t>
            </w:r>
          </w:p>
        </w:tc>
      </w:tr>
      <w:tr>
        <w:trPr>
          <w:cantSplit/>
        </w:trPr>
        <w:tc>
          <w:tcPr>
            <w:tcW w:type="dxa" w:w="2448"/>
            <w:tcMar>
              <w:top w:w="90" w:type="dxa"/>
              <w:start w:w="100" w:type="dxa"/>
              <w:bottom w:w="90" w:type="dxa"/>
              <w:end w:w="100" w:type="dxa"/>
            </w:tcMar>
          </w:tcPr>
          <w:p>
            <w:pPr>
              <w:keepNext w:val="0"/>
            </w:pPr>
            <w:r>
              <w:rPr>
                <w:sz w:val="18"/>
              </w:rPr>
              <w:t>ETIS</w:t>
            </w:r>
          </w:p>
        </w:tc>
        <w:tc>
          <w:tcPr>
            <w:tcW w:type="dxa" w:w="7416"/>
            <w:tcMar>
              <w:top w:w="90" w:type="dxa"/>
              <w:start w:w="100" w:type="dxa"/>
              <w:bottom w:w="90" w:type="dxa"/>
              <w:end w:w="100" w:type="dxa"/>
            </w:tcMar>
          </w:tcPr>
          <w:p>
            <w:pPr>
              <w:keepNext w:val="0"/>
            </w:pPr>
            <w:r>
              <w:rPr>
                <w:sz w:val="18"/>
              </w:rPr>
              <w:t>Engineering Trustworthy Intelligent Systems; the broader engineering framework and ecosystem.</w:t>
            </w:r>
          </w:p>
        </w:tc>
      </w:tr>
      <w:tr>
        <w:trPr>
          <w:cantSplit/>
        </w:trPr>
        <w:tc>
          <w:tcPr>
            <w:tcW w:type="dxa" w:w="2448"/>
            <w:tcMar>
              <w:top w:w="90" w:type="dxa"/>
              <w:start w:w="100" w:type="dxa"/>
              <w:bottom w:w="90" w:type="dxa"/>
              <w:end w:w="100" w:type="dxa"/>
            </w:tcMar>
          </w:tcPr>
          <w:p>
            <w:pPr>
              <w:keepNext w:val="0"/>
            </w:pPr>
            <w:r>
              <w:rPr>
                <w:sz w:val="18"/>
              </w:rPr>
              <w:t>Engineering Platform</w:t>
            </w:r>
          </w:p>
        </w:tc>
        <w:tc>
          <w:tcPr>
            <w:tcW w:type="dxa" w:w="7416"/>
            <w:tcMar>
              <w:top w:w="90" w:type="dxa"/>
              <w:start w:w="100" w:type="dxa"/>
              <w:bottom w:w="90" w:type="dxa"/>
              <w:end w:w="100" w:type="dxa"/>
            </w:tcMar>
          </w:tcPr>
          <w:p>
            <w:pPr>
              <w:keepNext w:val="0"/>
            </w:pPr>
            <w:r>
              <w:rPr>
                <w:sz w:val="18"/>
              </w:rPr>
              <w:t>Practical ETIS guidance environment with stages, templates, examples, governance and evidence-centered assets.</w:t>
            </w:r>
          </w:p>
        </w:tc>
      </w:tr>
      <w:tr>
        <w:trPr>
          <w:cantSplit/>
        </w:trPr>
        <w:tc>
          <w:tcPr>
            <w:tcW w:type="dxa" w:w="2448"/>
            <w:tcMar>
              <w:top w:w="90" w:type="dxa"/>
              <w:start w:w="100" w:type="dxa"/>
              <w:bottom w:w="90" w:type="dxa"/>
              <w:end w:w="100" w:type="dxa"/>
            </w:tcMar>
          </w:tcPr>
          <w:p>
            <w:pPr>
              <w:keepNext w:val="0"/>
            </w:pPr>
            <w:r>
              <w:rPr>
                <w:sz w:val="18"/>
              </w:rPr>
              <w:t>ETIS Preflight</w:t>
            </w:r>
          </w:p>
        </w:tc>
        <w:tc>
          <w:tcPr>
            <w:tcW w:type="dxa" w:w="7416"/>
            <w:tcMar>
              <w:top w:w="90" w:type="dxa"/>
              <w:start w:w="100" w:type="dxa"/>
              <w:bottom w:w="90" w:type="dxa"/>
              <w:end w:w="100" w:type="dxa"/>
            </w:tcMar>
          </w:tcPr>
          <w:p>
            <w:pPr>
              <w:keepNext w:val="0"/>
            </w:pPr>
            <w:r>
              <w:rPr>
                <w:sz w:val="18"/>
              </w:rPr>
              <w:t>Phase-gate readiness analysis used by student teams before formal review.</w:t>
            </w:r>
          </w:p>
        </w:tc>
      </w:tr>
      <w:tr>
        <w:trPr>
          <w:cantSplit/>
        </w:trPr>
        <w:tc>
          <w:tcPr>
            <w:tcW w:type="dxa" w:w="2448"/>
            <w:tcMar>
              <w:top w:w="90" w:type="dxa"/>
              <w:start w:w="100" w:type="dxa"/>
              <w:bottom w:w="90" w:type="dxa"/>
              <w:end w:w="100" w:type="dxa"/>
            </w:tcMar>
          </w:tcPr>
          <w:p>
            <w:pPr>
              <w:keepNext w:val="0"/>
            </w:pPr>
            <w:r>
              <w:rPr>
                <w:sz w:val="18"/>
              </w:rPr>
              <w:t>Engineering Studio</w:t>
            </w:r>
          </w:p>
        </w:tc>
        <w:tc>
          <w:tcPr>
            <w:tcW w:type="dxa" w:w="7416"/>
            <w:tcMar>
              <w:top w:w="90" w:type="dxa"/>
              <w:start w:w="100" w:type="dxa"/>
              <w:bottom w:w="90" w:type="dxa"/>
              <w:end w:w="100" w:type="dxa"/>
            </w:tcMar>
          </w:tcPr>
          <w:p>
            <w:pPr>
              <w:keepNext w:val="0"/>
            </w:pPr>
            <w:r>
              <w:rPr>
                <w:sz w:val="18"/>
              </w:rPr>
              <w:t>Developmental engineering apprenticeship environment using frozen repository evidence and controlled reviewers.</w:t>
            </w:r>
          </w:p>
        </w:tc>
      </w:tr>
      <w:tr>
        <w:trPr>
          <w:cantSplit/>
        </w:trPr>
        <w:tc>
          <w:tcPr>
            <w:tcW w:type="dxa" w:w="2448"/>
            <w:tcMar>
              <w:top w:w="90" w:type="dxa"/>
              <w:start w:w="100" w:type="dxa"/>
              <w:bottom w:w="90" w:type="dxa"/>
              <w:end w:w="100" w:type="dxa"/>
            </w:tcMar>
          </w:tcPr>
          <w:p>
            <w:pPr>
              <w:keepNext w:val="0"/>
            </w:pPr>
            <w:r>
              <w:rPr>
                <w:sz w:val="18"/>
              </w:rPr>
              <w:t>Engineering Review Center</w:t>
            </w:r>
          </w:p>
        </w:tc>
        <w:tc>
          <w:tcPr>
            <w:tcW w:type="dxa" w:w="7416"/>
            <w:tcMar>
              <w:top w:w="90" w:type="dxa"/>
              <w:start w:w="100" w:type="dxa"/>
              <w:bottom w:w="90" w:type="dxa"/>
              <w:end w:w="100" w:type="dxa"/>
            </w:tcMar>
          </w:tcPr>
          <w:p>
            <w:pPr>
              <w:keepNext w:val="0"/>
            </w:pPr>
            <w:r>
              <w:rPr>
                <w:sz w:val="18"/>
              </w:rPr>
              <w:t>Instructor-facing formal phase-gate review environment using tagged evidence as the formal boundary.</w:t>
            </w:r>
          </w:p>
        </w:tc>
      </w:tr>
      <w:tr>
        <w:trPr>
          <w:cantSplit/>
        </w:trPr>
        <w:tc>
          <w:tcPr>
            <w:tcW w:type="dxa" w:w="2448"/>
            <w:tcMar>
              <w:top w:w="90" w:type="dxa"/>
              <w:start w:w="100" w:type="dxa"/>
              <w:bottom w:w="90" w:type="dxa"/>
              <w:end w:w="100" w:type="dxa"/>
            </w:tcMar>
          </w:tcPr>
          <w:p>
            <w:pPr>
              <w:keepNext w:val="0"/>
            </w:pPr>
            <w:r>
              <w:rPr>
                <w:sz w:val="18"/>
              </w:rPr>
              <w:t>Evidence snapshot</w:t>
            </w:r>
          </w:p>
        </w:tc>
        <w:tc>
          <w:tcPr>
            <w:tcW w:type="dxa" w:w="7416"/>
            <w:tcMar>
              <w:top w:w="90" w:type="dxa"/>
              <w:start w:w="100" w:type="dxa"/>
              <w:bottom w:w="90" w:type="dxa"/>
              <w:end w:w="100" w:type="dxa"/>
            </w:tcMar>
          </w:tcPr>
          <w:p>
            <w:pPr>
              <w:keepNext w:val="0"/>
            </w:pPr>
            <w:r>
              <w:rPr>
                <w:sz w:val="18"/>
              </w:rPr>
              <w:t>Frozen repository evidence state used by a Studio review. Later commits do not rewrite the historical snapshot.</w:t>
            </w:r>
          </w:p>
        </w:tc>
      </w:tr>
      <w:tr>
        <w:trPr>
          <w:cantSplit/>
        </w:trPr>
        <w:tc>
          <w:tcPr>
            <w:tcW w:type="dxa" w:w="2448"/>
            <w:tcMar>
              <w:top w:w="90" w:type="dxa"/>
              <w:start w:w="100" w:type="dxa"/>
              <w:bottom w:w="90" w:type="dxa"/>
              <w:end w:w="100" w:type="dxa"/>
            </w:tcMar>
          </w:tcPr>
          <w:p>
            <w:pPr>
              <w:keepNext w:val="0"/>
            </w:pPr>
            <w:r>
              <w:rPr>
                <w:sz w:val="18"/>
              </w:rPr>
              <w:t>Formal evidence boundary</w:t>
            </w:r>
          </w:p>
        </w:tc>
        <w:tc>
          <w:tcPr>
            <w:tcW w:type="dxa" w:w="7416"/>
            <w:tcMar>
              <w:top w:w="90" w:type="dxa"/>
              <w:start w:w="100" w:type="dxa"/>
              <w:bottom w:w="90" w:type="dxa"/>
              <w:end w:w="100" w:type="dxa"/>
            </w:tcMar>
          </w:tcPr>
          <w:p>
            <w:pPr>
              <w:keepNext w:val="0"/>
            </w:pPr>
            <w:r>
              <w:rPr>
                <w:sz w:val="18"/>
              </w:rPr>
              <w:t>The designated Git tag establishing what is formally submitted for phase-gate review.</w:t>
            </w:r>
          </w:p>
        </w:tc>
      </w:tr>
      <w:tr>
        <w:trPr>
          <w:cantSplit/>
        </w:trPr>
        <w:tc>
          <w:tcPr>
            <w:tcW w:type="dxa" w:w="2448"/>
            <w:tcMar>
              <w:top w:w="90" w:type="dxa"/>
              <w:start w:w="100" w:type="dxa"/>
              <w:bottom w:w="90" w:type="dxa"/>
              <w:end w:w="100" w:type="dxa"/>
            </w:tcMar>
          </w:tcPr>
          <w:p>
            <w:pPr>
              <w:keepNext w:val="0"/>
            </w:pPr>
            <w:r>
              <w:rPr>
                <w:sz w:val="18"/>
              </w:rPr>
              <w:t>FACT</w:t>
            </w:r>
          </w:p>
        </w:tc>
        <w:tc>
          <w:tcPr>
            <w:tcW w:type="dxa" w:w="7416"/>
            <w:tcMar>
              <w:top w:w="90" w:type="dxa"/>
              <w:start w:w="100" w:type="dxa"/>
              <w:bottom w:w="90" w:type="dxa"/>
              <w:end w:w="100" w:type="dxa"/>
            </w:tcMar>
          </w:tcPr>
          <w:p>
            <w:pPr>
              <w:keepNext w:val="0"/>
            </w:pPr>
            <w:r>
              <w:rPr>
                <w:sz w:val="18"/>
              </w:rPr>
              <w:t>Evidence-supported observation about the repository/project state.</w:t>
            </w:r>
          </w:p>
        </w:tc>
      </w:tr>
      <w:tr>
        <w:trPr>
          <w:cantSplit/>
        </w:trPr>
        <w:tc>
          <w:tcPr>
            <w:tcW w:type="dxa" w:w="2448"/>
            <w:tcMar>
              <w:top w:w="90" w:type="dxa"/>
              <w:start w:w="100" w:type="dxa"/>
              <w:bottom w:w="90" w:type="dxa"/>
              <w:end w:w="100" w:type="dxa"/>
            </w:tcMar>
          </w:tcPr>
          <w:p>
            <w:pPr>
              <w:keepNext w:val="0"/>
            </w:pPr>
            <w:r>
              <w:rPr>
                <w:sz w:val="18"/>
              </w:rPr>
              <w:t>REVIEW</w:t>
            </w:r>
          </w:p>
        </w:tc>
        <w:tc>
          <w:tcPr>
            <w:tcW w:type="dxa" w:w="7416"/>
            <w:tcMar>
              <w:top w:w="90" w:type="dxa"/>
              <w:start w:w="100" w:type="dxa"/>
              <w:bottom w:w="90" w:type="dxa"/>
              <w:end w:w="100" w:type="dxa"/>
            </w:tcMar>
          </w:tcPr>
          <w:p>
            <w:pPr>
              <w:keepNext w:val="0"/>
            </w:pPr>
            <w:r>
              <w:rPr>
                <w:sz w:val="18"/>
              </w:rPr>
              <w:t>Interpretation, concern, or finding that can be challenged, corrected, resolved, accepted, or deferred.</w:t>
            </w:r>
          </w:p>
        </w:tc>
      </w:tr>
      <w:tr>
        <w:trPr>
          <w:cantSplit/>
        </w:trPr>
        <w:tc>
          <w:tcPr>
            <w:tcW w:type="dxa" w:w="2448"/>
            <w:tcMar>
              <w:top w:w="90" w:type="dxa"/>
              <w:start w:w="100" w:type="dxa"/>
              <w:bottom w:w="90" w:type="dxa"/>
              <w:end w:w="100" w:type="dxa"/>
            </w:tcMar>
          </w:tcPr>
          <w:p>
            <w:pPr>
              <w:keepNext w:val="0"/>
            </w:pPr>
            <w:r>
              <w:rPr>
                <w:sz w:val="18"/>
              </w:rPr>
              <w:t>Controlled engineering reviewers</w:t>
            </w:r>
          </w:p>
        </w:tc>
        <w:tc>
          <w:tcPr>
            <w:tcW w:type="dxa" w:w="7416"/>
            <w:tcMar>
              <w:top w:w="90" w:type="dxa"/>
              <w:start w:w="100" w:type="dxa"/>
              <w:bottom w:w="90" w:type="dxa"/>
              <w:end w:w="100" w:type="dxa"/>
            </w:tcMar>
          </w:tcPr>
          <w:p>
            <w:pPr>
              <w:keepNext w:val="0"/>
            </w:pPr>
            <w:r>
              <w:rPr>
                <w:sz w:val="18"/>
              </w:rPr>
              <w:t>Defined reviewer roles with bounded mandates; not generic open-ended chat agents.</w:t>
            </w:r>
          </w:p>
        </w:tc>
      </w:tr>
      <w:tr>
        <w:trPr>
          <w:cantSplit/>
        </w:trPr>
        <w:tc>
          <w:tcPr>
            <w:tcW w:type="dxa" w:w="2448"/>
            <w:tcMar>
              <w:top w:w="90" w:type="dxa"/>
              <w:start w:w="100" w:type="dxa"/>
              <w:bottom w:w="90" w:type="dxa"/>
              <w:end w:w="100" w:type="dxa"/>
            </w:tcMar>
          </w:tcPr>
          <w:p>
            <w:pPr>
              <w:keepNext w:val="0"/>
            </w:pPr>
            <w:r>
              <w:rPr>
                <w:sz w:val="18"/>
              </w:rPr>
              <w:t>CourseTerm status</w:t>
            </w:r>
          </w:p>
        </w:tc>
        <w:tc>
          <w:tcPr>
            <w:tcW w:type="dxa" w:w="7416"/>
            <w:tcMar>
              <w:top w:w="90" w:type="dxa"/>
              <w:start w:w="100" w:type="dxa"/>
              <w:bottom w:w="90" w:type="dxa"/>
              <w:end w:w="100" w:type="dxa"/>
            </w:tcMar>
          </w:tcPr>
          <w:p>
            <w:pPr>
              <w:keepNext w:val="0"/>
            </w:pPr>
            <w:r>
              <w:rPr>
                <w:sz w:val="18"/>
              </w:rPr>
              <w:t>setup = administrative preparation; active = normal semester; archived = historical/read-only and non-authorizing.</w:t>
            </w:r>
          </w:p>
        </w:tc>
      </w:tr>
    </w:tbl>
    <w:p>
      <w:pPr>
        <w:spacing w:after="40"/>
      </w:pPr>
    </w:p>
    <w:p>
      <w:pPr>
        <w:pStyle w:val="Heading1"/>
      </w:pPr>
      <w:r>
        <w:t>Appendix B - Role and responsibility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872"/>
            <w:shd w:fill="122536"/>
            <w:tcMar>
              <w:top w:w="90" w:type="dxa"/>
              <w:start w:w="100" w:type="dxa"/>
              <w:bottom w:w="90" w:type="dxa"/>
              <w:end w:w="100" w:type="dxa"/>
            </w:tcMar>
          </w:tcPr>
          <w:p>
            <w:pPr>
              <w:keepNext w:val="0"/>
            </w:pPr>
            <w:r>
              <w:rPr>
                <w:b/>
                <w:color w:val="FFFFFF"/>
                <w:sz w:val="18"/>
              </w:rPr>
              <w:t>Role</w:t>
            </w:r>
          </w:p>
        </w:tc>
        <w:tc>
          <w:tcPr>
            <w:tcW w:type="dxa" w:w="5328"/>
            <w:shd w:fill="122536"/>
            <w:tcMar>
              <w:top w:w="90" w:type="dxa"/>
              <w:start w:w="100" w:type="dxa"/>
              <w:bottom w:w="90" w:type="dxa"/>
              <w:end w:w="100" w:type="dxa"/>
            </w:tcMar>
          </w:tcPr>
          <w:p>
            <w:pPr>
              <w:keepNext w:val="0"/>
            </w:pPr>
            <w:r>
              <w:rPr>
                <w:b/>
                <w:color w:val="FFFFFF"/>
                <w:sz w:val="18"/>
              </w:rPr>
              <w:t>Primary responsibility</w:t>
            </w:r>
          </w:p>
        </w:tc>
        <w:tc>
          <w:tcPr>
            <w:tcW w:type="dxa" w:w="2664"/>
            <w:shd w:fill="122536"/>
            <w:tcMar>
              <w:top w:w="90" w:type="dxa"/>
              <w:start w:w="100" w:type="dxa"/>
              <w:bottom w:w="90" w:type="dxa"/>
              <w:end w:w="100" w:type="dxa"/>
            </w:tcMar>
          </w:tcPr>
          <w:p>
            <w:pPr>
              <w:keepNext w:val="0"/>
            </w:pPr>
            <w:r>
              <w:rPr>
                <w:b/>
                <w:color w:val="FFFFFF"/>
                <w:sz w:val="18"/>
              </w:rPr>
              <w:t>Typical documents</w:t>
            </w:r>
          </w:p>
        </w:tc>
      </w:tr>
      <w:tr>
        <w:trPr>
          <w:cantSplit/>
        </w:trPr>
        <w:tc>
          <w:tcPr>
            <w:tcW w:type="dxa" w:w="1872"/>
            <w:tcMar>
              <w:top w:w="90" w:type="dxa"/>
              <w:start w:w="100" w:type="dxa"/>
              <w:bottom w:w="90" w:type="dxa"/>
              <w:end w:w="100" w:type="dxa"/>
            </w:tcMar>
          </w:tcPr>
          <w:p>
            <w:pPr>
              <w:keepNext w:val="0"/>
            </w:pPr>
            <w:r>
              <w:rPr>
                <w:sz w:val="18"/>
              </w:rPr>
              <w:t>Student</w:t>
            </w:r>
          </w:p>
        </w:tc>
        <w:tc>
          <w:tcPr>
            <w:tcW w:type="dxa" w:w="5328"/>
            <w:tcMar>
              <w:top w:w="90" w:type="dxa"/>
              <w:start w:w="100" w:type="dxa"/>
              <w:bottom w:w="90" w:type="dxa"/>
              <w:end w:w="100" w:type="dxa"/>
            </w:tcMar>
          </w:tcPr>
          <w:p>
            <w:pPr>
              <w:keepNext w:val="0"/>
            </w:pPr>
            <w:r>
              <w:rPr>
                <w:sz w:val="18"/>
              </w:rPr>
              <w:t>Build evidence, use Studio developmentally, own decisions, use Preflight near readiness, create formal tag when instructed.</w:t>
            </w:r>
          </w:p>
        </w:tc>
        <w:tc>
          <w:tcPr>
            <w:tcW w:type="dxa" w:w="2664"/>
            <w:tcMar>
              <w:top w:w="90" w:type="dxa"/>
              <w:start w:w="100" w:type="dxa"/>
              <w:bottom w:w="90" w:type="dxa"/>
              <w:end w:w="100" w:type="dxa"/>
            </w:tcMar>
          </w:tcPr>
          <w:p>
            <w:pPr>
              <w:keepNext w:val="0"/>
            </w:pPr>
            <w:r>
              <w:rPr>
                <w:sz w:val="18"/>
              </w:rPr>
              <w:t>05, 06, 07</w:t>
            </w:r>
          </w:p>
        </w:tc>
      </w:tr>
      <w:tr>
        <w:trPr>
          <w:cantSplit/>
        </w:trPr>
        <w:tc>
          <w:tcPr>
            <w:tcW w:type="dxa" w:w="1872"/>
            <w:tcMar>
              <w:top w:w="90" w:type="dxa"/>
              <w:start w:w="100" w:type="dxa"/>
              <w:bottom w:w="90" w:type="dxa"/>
              <w:end w:w="100" w:type="dxa"/>
            </w:tcMar>
          </w:tcPr>
          <w:p>
            <w:pPr>
              <w:keepNext w:val="0"/>
            </w:pPr>
            <w:r>
              <w:rPr>
                <w:sz w:val="18"/>
              </w:rPr>
              <w:t>Team</w:t>
            </w:r>
          </w:p>
        </w:tc>
        <w:tc>
          <w:tcPr>
            <w:tcW w:type="dxa" w:w="5328"/>
            <w:tcMar>
              <w:top w:w="90" w:type="dxa"/>
              <w:start w:w="100" w:type="dxa"/>
              <w:bottom w:w="90" w:type="dxa"/>
              <w:end w:w="100" w:type="dxa"/>
            </w:tcMar>
          </w:tcPr>
          <w:p>
            <w:pPr>
              <w:keepNext w:val="0"/>
            </w:pPr>
            <w:r>
              <w:rPr>
                <w:sz w:val="18"/>
              </w:rPr>
              <w:t>Maintain shared repository evidence, ownership, process, and repository authorization.</w:t>
            </w:r>
          </w:p>
        </w:tc>
        <w:tc>
          <w:tcPr>
            <w:tcW w:type="dxa" w:w="2664"/>
            <w:tcMar>
              <w:top w:w="90" w:type="dxa"/>
              <w:start w:w="100" w:type="dxa"/>
              <w:bottom w:w="90" w:type="dxa"/>
              <w:end w:w="100" w:type="dxa"/>
            </w:tcMar>
          </w:tcPr>
          <w:p>
            <w:pPr>
              <w:keepNext w:val="0"/>
            </w:pPr>
            <w:r>
              <w:rPr>
                <w:sz w:val="18"/>
              </w:rPr>
              <w:t>05, 06</w:t>
            </w:r>
          </w:p>
        </w:tc>
      </w:tr>
      <w:tr>
        <w:trPr>
          <w:cantSplit/>
        </w:trPr>
        <w:tc>
          <w:tcPr>
            <w:tcW w:type="dxa" w:w="1872"/>
            <w:tcMar>
              <w:top w:w="90" w:type="dxa"/>
              <w:start w:w="100" w:type="dxa"/>
              <w:bottom w:w="90" w:type="dxa"/>
              <w:end w:w="100" w:type="dxa"/>
            </w:tcMar>
          </w:tcPr>
          <w:p>
            <w:pPr>
              <w:keepNext w:val="0"/>
            </w:pPr>
            <w:r>
              <w:rPr>
                <w:sz w:val="18"/>
              </w:rPr>
              <w:t>Instructor</w:t>
            </w:r>
          </w:p>
        </w:tc>
        <w:tc>
          <w:tcPr>
            <w:tcW w:type="dxa" w:w="5328"/>
            <w:tcMar>
              <w:top w:w="90" w:type="dxa"/>
              <w:start w:w="100" w:type="dxa"/>
              <w:bottom w:w="90" w:type="dxa"/>
              <w:end w:w="100" w:type="dxa"/>
            </w:tcMar>
          </w:tcPr>
          <w:p>
            <w:pPr>
              <w:keepNext w:val="0"/>
            </w:pPr>
            <w:r>
              <w:rPr>
                <w:sz w:val="18"/>
              </w:rPr>
              <w:t>Coach, inspect team/review/evidence signals, exercise academic judgment, support students.</w:t>
            </w:r>
          </w:p>
        </w:tc>
        <w:tc>
          <w:tcPr>
            <w:tcW w:type="dxa" w:w="2664"/>
            <w:tcMar>
              <w:top w:w="90" w:type="dxa"/>
              <w:start w:w="100" w:type="dxa"/>
              <w:bottom w:w="90" w:type="dxa"/>
              <w:end w:w="100" w:type="dxa"/>
            </w:tcMar>
          </w:tcPr>
          <w:p>
            <w:pPr>
              <w:keepNext w:val="0"/>
            </w:pPr>
            <w:r>
              <w:rPr>
                <w:sz w:val="18"/>
              </w:rPr>
              <w:t>04</w:t>
            </w:r>
          </w:p>
        </w:tc>
      </w:tr>
      <w:tr>
        <w:trPr>
          <w:cantSplit/>
        </w:trPr>
        <w:tc>
          <w:tcPr>
            <w:tcW w:type="dxa" w:w="1872"/>
            <w:tcMar>
              <w:top w:w="90" w:type="dxa"/>
              <w:start w:w="100" w:type="dxa"/>
              <w:bottom w:w="90" w:type="dxa"/>
              <w:end w:w="100" w:type="dxa"/>
            </w:tcMar>
          </w:tcPr>
          <w:p>
            <w:pPr>
              <w:keepNext w:val="0"/>
            </w:pPr>
            <w:r>
              <w:rPr>
                <w:sz w:val="18"/>
              </w:rPr>
              <w:t>Course Owner</w:t>
            </w:r>
          </w:p>
        </w:tc>
        <w:tc>
          <w:tcPr>
            <w:tcW w:type="dxa" w:w="5328"/>
            <w:tcMar>
              <w:top w:w="90" w:type="dxa"/>
              <w:start w:w="100" w:type="dxa"/>
              <w:bottom w:w="90" w:type="dxa"/>
              <w:end w:w="100" w:type="dxa"/>
            </w:tcMar>
          </w:tcPr>
          <w:p>
            <w:pPr>
              <w:keepNext w:val="0"/>
            </w:pPr>
            <w:r>
              <w:rPr>
                <w:sz w:val="18"/>
              </w:rPr>
              <w:t>Own semester setup, staff roles, section lifecycle, high-authority course mutations.</w:t>
            </w:r>
          </w:p>
        </w:tc>
        <w:tc>
          <w:tcPr>
            <w:tcW w:type="dxa" w:w="2664"/>
            <w:tcMar>
              <w:top w:w="90" w:type="dxa"/>
              <w:start w:w="100" w:type="dxa"/>
              <w:bottom w:w="90" w:type="dxa"/>
              <w:end w:w="100" w:type="dxa"/>
            </w:tcMar>
          </w:tcPr>
          <w:p>
            <w:pPr>
              <w:keepNext w:val="0"/>
            </w:pPr>
            <w:r>
              <w:rPr>
                <w:sz w:val="18"/>
              </w:rPr>
              <w:t>04, 10</w:t>
            </w:r>
          </w:p>
        </w:tc>
      </w:tr>
      <w:tr>
        <w:trPr>
          <w:cantSplit/>
        </w:trPr>
        <w:tc>
          <w:tcPr>
            <w:tcW w:type="dxa" w:w="1872"/>
            <w:tcMar>
              <w:top w:w="90" w:type="dxa"/>
              <w:start w:w="100" w:type="dxa"/>
              <w:bottom w:w="90" w:type="dxa"/>
              <w:end w:w="100" w:type="dxa"/>
            </w:tcMar>
          </w:tcPr>
          <w:p>
            <w:pPr>
              <w:keepNext w:val="0"/>
            </w:pPr>
            <w:r>
              <w:rPr>
                <w:sz w:val="18"/>
              </w:rPr>
              <w:t>Technical Administrator</w:t>
            </w:r>
          </w:p>
        </w:tc>
        <w:tc>
          <w:tcPr>
            <w:tcW w:type="dxa" w:w="5328"/>
            <w:tcMar>
              <w:top w:w="90" w:type="dxa"/>
              <w:start w:w="100" w:type="dxa"/>
              <w:bottom w:w="90" w:type="dxa"/>
              <w:end w:w="100" w:type="dxa"/>
            </w:tcMar>
          </w:tcPr>
          <w:p>
            <w:pPr>
              <w:keepNext w:val="0"/>
            </w:pPr>
            <w:r>
              <w:rPr>
                <w:sz w:val="18"/>
              </w:rPr>
              <w:t>Install/configure identity, GitHub integration, Azure, database, secrets, DNS/TLS, deployment.</w:t>
            </w:r>
          </w:p>
        </w:tc>
        <w:tc>
          <w:tcPr>
            <w:tcW w:type="dxa" w:w="2664"/>
            <w:tcMar>
              <w:top w:w="90" w:type="dxa"/>
              <w:start w:w="100" w:type="dxa"/>
              <w:bottom w:w="90" w:type="dxa"/>
              <w:end w:w="100" w:type="dxa"/>
            </w:tcMar>
          </w:tcPr>
          <w:p>
            <w:pPr>
              <w:keepNext w:val="0"/>
            </w:pPr>
            <w:r>
              <w:rPr>
                <w:sz w:val="18"/>
              </w:rPr>
              <w:t>02, 03</w:t>
            </w:r>
          </w:p>
        </w:tc>
      </w:tr>
      <w:tr>
        <w:trPr>
          <w:cantSplit/>
        </w:trPr>
        <w:tc>
          <w:tcPr>
            <w:tcW w:type="dxa" w:w="1872"/>
            <w:tcMar>
              <w:top w:w="90" w:type="dxa"/>
              <w:start w:w="100" w:type="dxa"/>
              <w:bottom w:w="90" w:type="dxa"/>
              <w:end w:w="100" w:type="dxa"/>
            </w:tcMar>
          </w:tcPr>
          <w:p>
            <w:pPr>
              <w:keepNext w:val="0"/>
            </w:pPr>
            <w:r>
              <w:rPr>
                <w:sz w:val="18"/>
              </w:rPr>
              <w:t>Production Operator</w:t>
            </w:r>
          </w:p>
        </w:tc>
        <w:tc>
          <w:tcPr>
            <w:tcW w:type="dxa" w:w="5328"/>
            <w:tcMar>
              <w:top w:w="90" w:type="dxa"/>
              <w:start w:w="100" w:type="dxa"/>
              <w:bottom w:w="90" w:type="dxa"/>
              <w:end w:w="100" w:type="dxa"/>
            </w:tcMar>
          </w:tcPr>
          <w:p>
            <w:pPr>
              <w:keepNext w:val="0"/>
            </w:pPr>
            <w:r>
              <w:rPr>
                <w:sz w:val="18"/>
              </w:rPr>
              <w:t>Monitor, diagnose, run acceptance, handle alerts, preserve incident evidence.</w:t>
            </w:r>
          </w:p>
        </w:tc>
        <w:tc>
          <w:tcPr>
            <w:tcW w:type="dxa" w:w="2664"/>
            <w:tcMar>
              <w:top w:w="90" w:type="dxa"/>
              <w:start w:w="100" w:type="dxa"/>
              <w:bottom w:w="90" w:type="dxa"/>
              <w:end w:w="100" w:type="dxa"/>
            </w:tcMar>
          </w:tcPr>
          <w:p>
            <w:pPr>
              <w:keepNext w:val="0"/>
            </w:pPr>
            <w:r>
              <w:rPr>
                <w:sz w:val="18"/>
              </w:rPr>
              <w:t>08, 09</w:t>
            </w:r>
          </w:p>
        </w:tc>
      </w:tr>
      <w:tr>
        <w:trPr>
          <w:cantSplit/>
        </w:trPr>
        <w:tc>
          <w:tcPr>
            <w:tcW w:type="dxa" w:w="1872"/>
            <w:tcMar>
              <w:top w:w="90" w:type="dxa"/>
              <w:start w:w="100" w:type="dxa"/>
              <w:bottom w:w="90" w:type="dxa"/>
              <w:end w:w="100" w:type="dxa"/>
            </w:tcMar>
          </w:tcPr>
          <w:p>
            <w:pPr>
              <w:keepNext w:val="0"/>
            </w:pPr>
            <w:r>
              <w:rPr>
                <w:sz w:val="18"/>
              </w:rPr>
              <w:t>Recovery Lead</w:t>
            </w:r>
          </w:p>
        </w:tc>
        <w:tc>
          <w:tcPr>
            <w:tcW w:type="dxa" w:w="5328"/>
            <w:tcMar>
              <w:top w:w="90" w:type="dxa"/>
              <w:start w:w="100" w:type="dxa"/>
              <w:bottom w:w="90" w:type="dxa"/>
              <w:end w:w="100" w:type="dxa"/>
            </w:tcMar>
          </w:tcPr>
          <w:p>
            <w:pPr>
              <w:keepNext w:val="0"/>
            </w:pPr>
            <w:r>
              <w:rPr>
                <w:sz w:val="18"/>
              </w:rPr>
              <w:t>Choose rollback/PITR/recovery strategy, validate restored service, preserve evidence.</w:t>
            </w:r>
          </w:p>
        </w:tc>
        <w:tc>
          <w:tcPr>
            <w:tcW w:type="dxa" w:w="2664"/>
            <w:tcMar>
              <w:top w:w="90" w:type="dxa"/>
              <w:start w:w="100" w:type="dxa"/>
              <w:bottom w:w="90" w:type="dxa"/>
              <w:end w:w="100" w:type="dxa"/>
            </w:tcMar>
          </w:tcPr>
          <w:p>
            <w:pPr>
              <w:keepNext w:val="0"/>
            </w:pPr>
            <w:r>
              <w:rPr>
                <w:sz w:val="18"/>
              </w:rPr>
              <w:t>11</w:t>
            </w:r>
          </w:p>
        </w:tc>
      </w:tr>
      <w:tr>
        <w:trPr>
          <w:cantSplit/>
        </w:trPr>
        <w:tc>
          <w:tcPr>
            <w:tcW w:type="dxa" w:w="1872"/>
            <w:tcMar>
              <w:top w:w="90" w:type="dxa"/>
              <w:start w:w="100" w:type="dxa"/>
              <w:bottom w:w="90" w:type="dxa"/>
              <w:end w:w="100" w:type="dxa"/>
            </w:tcMar>
          </w:tcPr>
          <w:p>
            <w:pPr>
              <w:keepNext w:val="0"/>
            </w:pPr>
            <w:r>
              <w:rPr>
                <w:sz w:val="18"/>
              </w:rPr>
              <w:t>Institution</w:t>
            </w:r>
          </w:p>
        </w:tc>
        <w:tc>
          <w:tcPr>
            <w:tcW w:type="dxa" w:w="5328"/>
            <w:tcMar>
              <w:top w:w="90" w:type="dxa"/>
              <w:start w:w="100" w:type="dxa"/>
              <w:bottom w:w="90" w:type="dxa"/>
              <w:end w:w="100" w:type="dxa"/>
            </w:tcMar>
          </w:tcPr>
          <w:p>
            <w:pPr>
              <w:keepNext w:val="0"/>
            </w:pPr>
            <w:r>
              <w:rPr>
                <w:sz w:val="18"/>
              </w:rPr>
              <w:t>Own deployment, privacy, retention, security, AI service configuration, support and operational governance.</w:t>
            </w:r>
          </w:p>
        </w:tc>
        <w:tc>
          <w:tcPr>
            <w:tcW w:type="dxa" w:w="2664"/>
            <w:tcMar>
              <w:top w:w="90" w:type="dxa"/>
              <w:start w:w="100" w:type="dxa"/>
              <w:bottom w:w="90" w:type="dxa"/>
              <w:end w:w="100" w:type="dxa"/>
            </w:tcMar>
          </w:tcPr>
          <w:p>
            <w:pPr>
              <w:keepNext w:val="0"/>
            </w:pPr>
            <w:r>
              <w:rPr>
                <w:sz w:val="18"/>
              </w:rPr>
              <w:t>00, 02, 03, 09, 10, 11</w:t>
            </w:r>
          </w:p>
        </w:tc>
      </w:tr>
    </w:tbl>
    <w:p>
      <w:pPr>
        <w:spacing w:after="40"/>
      </w:pPr>
    </w:p>
    <w:p>
      <w:pPr>
        <w:pStyle w:val="Heading1"/>
      </w:pPr>
      <w:r>
        <w:t>Appendix C - First-adoption checklist</w:t>
      </w:r>
    </w:p>
    <w:p>
      <w:pPr>
        <w:spacing w:after="60"/>
        <w:ind w:left="259" w:hanging="259"/>
      </w:pPr>
      <w:r>
        <w:rPr>
          <w:b/>
        </w:rPr>
        <w:t xml:space="preserve">1. </w:t>
      </w:r>
      <w:r>
        <w:t>Read this Master Manual and agree on product boundaries, terminology, and ownership.</w:t>
      </w:r>
    </w:p>
    <w:p>
      <w:pPr>
        <w:spacing w:after="60"/>
        <w:ind w:left="259" w:hanging="259"/>
      </w:pPr>
      <w:r>
        <w:rPr>
          <w:b/>
        </w:rPr>
        <w:t xml:space="preserve">2. </w:t>
      </w:r>
      <w:r>
        <w:t>Assign institutional technical administrator, Course Owner, production operator, and recovery lead responsibilities.</w:t>
      </w:r>
    </w:p>
    <w:p>
      <w:pPr>
        <w:spacing w:after="60"/>
        <w:ind w:left="259" w:hanging="259"/>
      </w:pPr>
      <w:r>
        <w:rPr>
          <w:b/>
        </w:rPr>
        <w:t xml:space="preserve">3. </w:t>
      </w:r>
      <w:r>
        <w:t>Read 03 Architecture &amp; Detailed Design before finalizing identity/GitHub/privacy/retention choices.</w:t>
      </w:r>
    </w:p>
    <w:p>
      <w:pPr>
        <w:spacing w:after="60"/>
        <w:ind w:left="259" w:hanging="259"/>
      </w:pPr>
      <w:r>
        <w:rPr>
          <w:b/>
        </w:rPr>
        <w:t xml:space="preserve">4. </w:t>
      </w:r>
      <w:r>
        <w:t>Execute 02 Installation &amp; Administration from a clean environment; do not improvise around trust boundaries.</w:t>
      </w:r>
    </w:p>
    <w:p>
      <w:pPr>
        <w:spacing w:after="60"/>
        <w:ind w:left="259" w:hanging="259"/>
      </w:pPr>
      <w:r>
        <w:rPr>
          <w:b/>
        </w:rPr>
        <w:t xml:space="preserve">5. </w:t>
      </w:r>
      <w:r>
        <w:t>Run post-deployment production acceptance and record the known-good baseline.</w:t>
      </w:r>
    </w:p>
    <w:p>
      <w:pPr>
        <w:spacing w:after="60"/>
        <w:ind w:left="259" w:hanging="259"/>
      </w:pPr>
      <w:r>
        <w:rPr>
          <w:b/>
        </w:rPr>
        <w:t xml:space="preserve">6. </w:t>
      </w:r>
      <w:r>
        <w:t>Prepare 10 Semester Administration before roster/team onboarding.</w:t>
      </w:r>
    </w:p>
    <w:p>
      <w:pPr>
        <w:spacing w:after="60"/>
        <w:ind w:left="259" w:hanging="259"/>
      </w:pPr>
      <w:r>
        <w:rPr>
          <w:b/>
        </w:rPr>
        <w:t xml:space="preserve">7. </w:t>
      </w:r>
      <w:r>
        <w:t>Give instructors 04 and students 05/06/07 before the first required use.</w:t>
      </w:r>
    </w:p>
    <w:p>
      <w:pPr>
        <w:spacing w:after="60"/>
        <w:ind w:left="259" w:hanging="259"/>
      </w:pPr>
      <w:r>
        <w:rPr>
          <w:b/>
        </w:rPr>
        <w:t xml:space="preserve">8. </w:t>
      </w:r>
      <w:r>
        <w:t>Establish routine monitoring and incident ownership using 08 and 09.</w:t>
      </w:r>
    </w:p>
    <w:p>
      <w:pPr>
        <w:spacing w:after="60"/>
        <w:ind w:left="259" w:hanging="259"/>
      </w:pPr>
      <w:r>
        <w:rPr>
          <w:b/>
        </w:rPr>
        <w:t xml:space="preserve">9. </w:t>
      </w:r>
      <w:r>
        <w:t>Perform or schedule a recovery exercise using 11 before the deployment becomes business-critical.</w:t>
      </w:r>
    </w:p>
    <w:p>
      <w:pPr>
        <w:spacing w:after="60"/>
        <w:ind w:left="259" w:hanging="259"/>
      </w:pPr>
      <w:r>
        <w:rPr>
          <w:b/>
        </w:rPr>
        <w:t xml:space="preserve">10. </w:t>
      </w:r>
      <w:r>
        <w:t>At semester end, archive the term and confirm historical records remain readable but non-operational.</w:t>
      </w: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PUBLISHING BASELINE</w:t>
              <w:br/>
            </w:r>
            <w:r>
              <w:rPr>
                <w:sz w:val="20"/>
              </w:rPr>
              <w:t>This manual and its companion documents are designed to be read together. The Master Manual explains why and where; each companion document explains exactly how for the relevant audience and scenario.</w:t>
            </w:r>
          </w:p>
        </w:tc>
      </w:tr>
    </w:tbl>
    <w:p>
      <w:pPr>
        <w:spacing w:after="20"/>
      </w:pPr>
    </w:p>
    <w:sectPr w:rsidR="00FC693F" w:rsidRPr="0006063C" w:rsidSect="00034616">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Master Manual &amp; Documentation Index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5040"/>
          <w:shd w:fill="0B1722"/>
          <w:tcMar>
            <w:top w:w="55" w:type="dxa"/>
            <w:start w:w="80" w:type="dxa"/>
            <w:bottom w:w="55" w:type="dxa"/>
            <w:end w:w="80" w:type="dxa"/>
          </w:tcMar>
        </w:tcPr>
        <w:p>
          <w:pPr>
            <w:jc w:val="center"/>
          </w:pPr>
          <w:r>
            <w:rPr>
              <w:b/>
              <w:color w:val="5CCEC5"/>
              <w:sz w:val="26"/>
            </w:rPr>
            <w:t>E</w:t>
          </w:r>
        </w:p>
      </w:tc>
      <w:tc>
        <w:tcPr>
          <w:tcW w:type="dxa" w:w="5040"/>
          <w:shd w:fill="0B1722"/>
          <w:tcMar>
            <w:top w:w="55" w:type="dxa"/>
            <w:start w:w="80" w:type="dxa"/>
            <w:bottom w:w="55" w:type="dxa"/>
            <w:end w:w="80" w:type="dxa"/>
          </w:tcMar>
        </w:tcPr>
        <w:p>
          <w:r>
            <w:rPr>
              <w:b/>
              <w:color w:val="FFFFFF"/>
              <w:sz w:val="17"/>
            </w:rPr>
            <w:t>ETIS ENGINEERING STUDIO  |  MASTER MANUAL &amp; DOCUMENTATION INDEX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87E78"/>
      <w:sz w:val="29"/>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Arial" w:hAnsi="Arial"/>
      <w:b/>
      <w:i/>
      <w:iCs/>
      <w:color w:val="5563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60"/>
    </w:pPr>
    <w:rPr>
      <w:rFonts w:ascii="Arial" w:hAnsi="Arial"/>
      <w:i/>
      <w:color w:val="556372"/>
      <w:sz w:val="17"/>
    </w:rPr>
  </w:style>
  <w:style w:type="paragraph" w:customStyle="1" w:styleId="ETISCode">
    <w:name w:val="ETIS Code"/>
    <w:pPr>
      <w:ind w:left="259"/>
    </w:pPr>
    <w:rPr>
      <w:rFonts w:ascii="Courier New" w:hAnsi="Courier New"/>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Manual &amp; Documentation Index v0.18.0</dc:title>
  <dc:subject>ETIS Engineering Studio v0.18.0 manual edition</dc:subject>
  <dc:creator>ETIS Framework</dc:creator>
  <cp:keywords>ETIS, Engineering Studio, Preflight, Engineering Review Center, documentation, operations, students, instructors, architecture</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