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pPr>
      <w:r>
        <w:rPr>
          <w:b/>
          <w:color w:val="287E78"/>
          <w:sz w:val="30"/>
        </w:rPr>
        <w:t>ETIS</w:t>
      </w:r>
    </w:p>
    <w:p>
      <w:pPr>
        <w:pStyle w:val="Title"/>
      </w:pPr>
      <w:r>
        <w:rPr>
          <w:color w:val="000000"/>
          <w:u w:val="none"/>
        </w:rPr>
        <w:t>Production Operations Runbook</w:t>
      </w:r>
    </w:p>
    <w:p>
      <w:pPr>
        <w:pStyle w:val="Subtitle"/>
      </w:pPr>
      <w:r>
        <w:t>Incident-oriented procedures for operating, diagnosing, stabilizing, and returning ETIS Engineering Studio production to service</w:t>
      </w:r>
    </w:p>
    <w:p>
      <w:r>
        <w:t>v0.18.0 manual edition. Software release candidate; publication follows deployment acceptance.</w:t>
      </w:r>
    </w:p>
    <w:tbl>
      <w:tblPr>
        <w:tblW w:type="auto" w:w="0"/>
        <w:tblLook w:firstColumn="1" w:firstRow="1" w:lastColumn="0" w:lastRow="0" w:noHBand="0" w:noVBand="1" w:val="04A0"/>
      </w:tblPr>
      <w:tblGrid>
        <w:gridCol w:w="5083"/>
        <w:gridCol w:w="5083"/>
      </w:tblGrid>
      <w:tr>
        <w:trPr>
          <w:cantSplit/>
          <w:tblHeader/>
          <w:tblHeader/>
        </w:trPr>
        <w:tc>
          <w:tcPr>
            <w:tcW w:type="dxa" w:w="5083"/>
            <w:shd w:fill="EAF1F8"/>
            <w:tcMar>
              <w:top w:w="80" w:type="dxa"/>
              <w:start w:w="95" w:type="dxa"/>
              <w:bottom w:w="80" w:type="dxa"/>
              <w:end w:w="95" w:type="dxa"/>
            </w:tcMar>
          </w:tcPr>
          <w:p>
            <w:pPr>
              <w:keepNext w:val="0"/>
            </w:pPr>
            <w:r>
              <w:rPr>
                <w:b/>
              </w:rPr>
              <w:t>Audience</w:t>
            </w:r>
          </w:p>
        </w:tc>
        <w:tc>
          <w:tcPr>
            <w:tcW w:type="dxa" w:w="5083"/>
            <w:tcMar>
              <w:top w:w="80" w:type="dxa"/>
              <w:start w:w="95" w:type="dxa"/>
              <w:bottom w:w="80" w:type="dxa"/>
              <w:end w:w="95" w:type="dxa"/>
            </w:tcMar>
          </w:tcPr>
          <w:p>
            <w:pPr>
              <w:keepNext w:val="0"/>
            </w:pPr>
            <w:r>
              <w:t>Course owners, ETIS operators, maintainers, and incident responders</w:t>
            </w:r>
          </w:p>
        </w:tc>
      </w:tr>
      <w:tr>
        <w:trPr>
          <w:cantSplit/>
        </w:trPr>
        <w:tc>
          <w:tcPr>
            <w:tcW w:type="dxa" w:w="5083"/>
            <w:shd w:fill="EAF1F8"/>
            <w:tcMar>
              <w:top w:w="80" w:type="dxa"/>
              <w:start w:w="95" w:type="dxa"/>
              <w:bottom w:w="80" w:type="dxa"/>
              <w:end w:w="95" w:type="dxa"/>
            </w:tcMar>
          </w:tcPr>
          <w:p>
            <w:pPr>
              <w:keepNext w:val="0"/>
            </w:pPr>
            <w:r>
              <w:rPr>
                <w:b/>
              </w:rPr>
              <w:t>Purpose</w:t>
            </w:r>
          </w:p>
        </w:tc>
        <w:tc>
          <w:tcPr>
            <w:tcW w:type="dxa" w:w="5083"/>
            <w:tcMar>
              <w:top w:w="80" w:type="dxa"/>
              <w:start w:w="95" w:type="dxa"/>
              <w:bottom w:w="80" w:type="dxa"/>
              <w:end w:w="95" w:type="dxa"/>
            </w:tcMar>
          </w:tcPr>
          <w:p>
            <w:pPr>
              <w:keepNext w:val="0"/>
            </w:pPr>
            <w:r>
              <w:t>Provide symptom-to-action runbooks for normal operations and production incidents without bypassing security, evidence, or deployment boundaries.</w:t>
            </w:r>
          </w:p>
        </w:tc>
      </w:tr>
      <w:tr>
        <w:trPr>
          <w:cantSplit/>
        </w:trPr>
        <w:tc>
          <w:tcPr>
            <w:tcW w:type="dxa" w:w="5083"/>
            <w:shd w:fill="EAF1F8"/>
            <w:tcMar>
              <w:top w:w="80" w:type="dxa"/>
              <w:start w:w="95" w:type="dxa"/>
              <w:bottom w:w="80" w:type="dxa"/>
              <w:end w:w="95" w:type="dxa"/>
            </w:tcMar>
          </w:tcPr>
          <w:p>
            <w:pPr>
              <w:keepNext w:val="0"/>
            </w:pPr>
            <w:r>
              <w:rPr>
                <w:b/>
              </w:rPr>
              <w:t>Production service</w:t>
            </w:r>
          </w:p>
        </w:tc>
        <w:tc>
          <w:tcPr>
            <w:tcW w:type="dxa" w:w="5083"/>
            <w:tcMar>
              <w:top w:w="80" w:type="dxa"/>
              <w:start w:w="95" w:type="dxa"/>
              <w:bottom w:w="80" w:type="dxa"/>
              <w:end w:w="95" w:type="dxa"/>
            </w:tcMar>
          </w:tcPr>
          <w:p>
            <w:pPr>
              <w:keepNext w:val="0"/>
            </w:pPr>
            <w:r>
              <w:t>https://simulator.etisframework.org</w:t>
            </w:r>
          </w:p>
        </w:tc>
      </w:tr>
      <w:tr>
        <w:trPr>
          <w:cantSplit/>
        </w:trPr>
        <w:tc>
          <w:tcPr>
            <w:tcW w:type="dxa" w:w="5083"/>
            <w:shd w:fill="EAF1F8"/>
            <w:tcMar>
              <w:top w:w="80" w:type="dxa"/>
              <w:start w:w="95" w:type="dxa"/>
              <w:bottom w:w="80" w:type="dxa"/>
              <w:end w:w="95" w:type="dxa"/>
            </w:tcMar>
          </w:tcPr>
          <w:p>
            <w:pPr>
              <w:keepNext w:val="0"/>
            </w:pPr>
            <w:r>
              <w:rPr>
                <w:b/>
              </w:rPr>
              <w:t>Reference implementation</w:t>
            </w:r>
          </w:p>
        </w:tc>
        <w:tc>
          <w:tcPr>
            <w:tcW w:type="dxa" w:w="5083"/>
            <w:tcMar>
              <w:top w:w="80" w:type="dxa"/>
              <w:start w:w="95" w:type="dxa"/>
              <w:bottom w:w="80" w:type="dxa"/>
              <w:end w:w="95" w:type="dxa"/>
            </w:tcMar>
          </w:tcPr>
          <w:p>
            <w:pPr>
              <w:keepNext w:val="0"/>
            </w:pPr>
            <w:r>
              <w:t>COMP 330/474 Software Engineering • Fall 2026</w:t>
            </w:r>
          </w:p>
        </w:tc>
      </w:tr>
      <w:tr>
        <w:trPr>
          <w:cantSplit/>
        </w:trPr>
        <w:tc>
          <w:tcPr>
            <w:tcW w:type="dxa" w:w="5083"/>
            <w:shd w:fill="EAF1F8"/>
            <w:tcMar>
              <w:top w:w="80" w:type="dxa"/>
              <w:start w:w="95" w:type="dxa"/>
              <w:bottom w:w="80" w:type="dxa"/>
              <w:end w:w="95" w:type="dxa"/>
            </w:tcMar>
          </w:tcPr>
          <w:p>
            <w:pPr>
              <w:keepNext w:val="0"/>
            </w:pPr>
            <w:r>
              <w:rPr>
                <w:b/>
              </w:rPr>
              <w:t>Version</w:t>
            </w:r>
          </w:p>
        </w:tc>
        <w:tc>
          <w:tcPr>
            <w:tcW w:type="dxa" w:w="5083"/>
            <w:tcMar>
              <w:top w:w="80" w:type="dxa"/>
              <w:start w:w="95" w:type="dxa"/>
              <w:bottom w:w="80" w:type="dxa"/>
              <w:end w:w="95" w:type="dxa"/>
            </w:tcMar>
          </w:tcPr>
          <w:p>
            <w:pPr>
              <w:keepNext w:val="0"/>
            </w:pPr>
            <w:r>
              <w:t>v0.18.0 • October 2, 2026</w:t>
            </w:r>
          </w:p>
        </w:tc>
      </w:tr>
    </w:tbl>
    <w:p/>
    <w:tbl>
      <w:tblPr>
        <w:tblW w:type="auto" w:w="0"/>
        <w:tblLook w:firstColumn="1" w:firstRow="1" w:lastColumn="0" w:lastRow="0" w:noHBand="0" w:noVBand="1" w:val="04A0"/>
      </w:tblPr>
      <w:tblGrid>
        <w:gridCol w:w="10166"/>
      </w:tblGrid>
      <w:tr>
        <w:trPr>
          <w:cantSplit/>
          <w:tblHeader/>
          <w:tblHeader/>
        </w:trPr>
        <w:tc>
          <w:tcPr>
            <w:tcW w:type="dxa" w:w="10166"/>
            <w:shd w:fill="EAF5F4"/>
            <w:tcMar>
              <w:top w:w="110" w:type="dxa"/>
              <w:start w:w="140" w:type="dxa"/>
              <w:bottom w:w="110" w:type="dxa"/>
              <w:end w:w="140" w:type="dxa"/>
            </w:tcMar>
          </w:tcPr>
          <w:p>
            <w:pPr>
              <w:keepNext w:val="0"/>
            </w:pPr>
            <w:r>
              <w:rPr>
                <w:b/>
                <w:color w:val="287E78"/>
                <w:sz w:val="18"/>
              </w:rPr>
              <w:t>OPERATING PRINCIPLE</w:t>
              <w:br/>
            </w:r>
            <w:r>
              <w:t>Production changes must be deliberate, reversible where possible, observable, and validated. The repository and protected deployment workflow remain authoritative; local tools do not replace controlled deployment.</w:t>
            </w:r>
          </w:p>
        </w:tc>
      </w:tr>
    </w:tbl>
    <w:p>
      <w:pPr>
        <w:spacing w:after="20"/>
      </w:pPr>
    </w:p>
    <w:p>
      <w:r>
        <w:br w:type="page"/>
      </w:r>
    </w:p>
    <w:p>
      <w:pPr>
        <w:pStyle w:val="Heading1"/>
      </w:pPr>
      <w:r>
        <w:t>Contents</w:t>
      </w:r>
    </w:p>
    <w:tbl>
      <w:tblPr>
        <w:tblStyle w:val="TableGrid"/>
        <w:tblW w:type="auto" w:w="0"/>
        <w:jc w:val="center"/>
        <w:tblLook w:firstColumn="1" w:firstRow="1" w:lastColumn="0" w:lastRow="0" w:noHBand="0" w:noVBand="1" w:val="04A0"/>
      </w:tblPr>
      <w:tblGrid>
        <w:gridCol w:w="5083"/>
        <w:gridCol w:w="5083"/>
      </w:tblGrid>
      <w:tr>
        <w:trPr>
          <w:tblHeader w:val="true"/>
          <w:cantSplit/>
          <w:tblHeader/>
        </w:trPr>
        <w:tc>
          <w:tcPr>
            <w:tcW w:type="dxa" w:w="2448"/>
            <w:shd w:fill="122536"/>
            <w:tcMar>
              <w:top w:w="80" w:type="dxa"/>
              <w:start w:w="95" w:type="dxa"/>
              <w:bottom w:w="80" w:type="dxa"/>
              <w:end w:w="95" w:type="dxa"/>
            </w:tcMar>
          </w:tcPr>
          <w:p>
            <w:pPr>
              <w:keepNext w:val="0"/>
            </w:pPr>
            <w:r>
              <w:rPr>
                <w:b/>
                <w:color w:val="FFFFFF"/>
                <w:sz w:val="17"/>
              </w:rPr>
              <w:t>Section</w:t>
            </w:r>
          </w:p>
        </w:tc>
        <w:tc>
          <w:tcPr>
            <w:tcW w:type="dxa" w:w="7200"/>
            <w:shd w:fill="122536"/>
            <w:tcMar>
              <w:top w:w="80" w:type="dxa"/>
              <w:start w:w="95" w:type="dxa"/>
              <w:bottom w:w="80" w:type="dxa"/>
              <w:end w:w="95" w:type="dxa"/>
            </w:tcMar>
          </w:tcPr>
          <w:p>
            <w:pPr>
              <w:keepNext w:val="0"/>
            </w:pPr>
            <w:r>
              <w:rPr>
                <w:b/>
                <w:color w:val="FFFFFF"/>
                <w:sz w:val="17"/>
              </w:rPr>
              <w:t>Purpose</w:t>
            </w:r>
          </w:p>
        </w:tc>
      </w:tr>
      <w:tr>
        <w:trPr>
          <w:cantSplit/>
        </w:trPr>
        <w:tc>
          <w:tcPr>
            <w:tcW w:type="dxa" w:w="2448"/>
            <w:tcMar>
              <w:top w:w="80" w:type="dxa"/>
              <w:start w:w="95" w:type="dxa"/>
              <w:bottom w:w="80" w:type="dxa"/>
              <w:end w:w="95" w:type="dxa"/>
            </w:tcMar>
          </w:tcPr>
          <w:p>
            <w:pPr>
              <w:keepNext w:val="0"/>
            </w:pPr>
            <w:r>
              <w:t>Executive Overview</w:t>
            </w:r>
          </w:p>
        </w:tc>
        <w:tc>
          <w:tcPr>
            <w:tcW w:type="dxa" w:w="7200"/>
            <w:tcMar>
              <w:top w:w="80" w:type="dxa"/>
              <w:start w:w="95" w:type="dxa"/>
              <w:bottom w:w="80" w:type="dxa"/>
              <w:end w:w="95" w:type="dxa"/>
            </w:tcMar>
          </w:tcPr>
          <w:p>
            <w:pPr>
              <w:keepNext w:val="0"/>
            </w:pPr>
            <w:r>
              <w:t>How to use this runbook and the incident discipline</w:t>
            </w:r>
          </w:p>
        </w:tc>
      </w:tr>
    </w:tbl>
    <w:p>
      <w:pPr>
        <w:spacing w:after="20"/>
      </w:pPr>
    </w:p>
    <w:tbl>
      <w:tblPr>
        <w:tblStyle w:val="TableGrid"/>
        <w:tblW w:type="auto" w:w="0"/>
        <w:jc w:val="center"/>
        <w:tblLook w:firstColumn="1" w:firstRow="1" w:lastColumn="0" w:lastRow="0" w:noHBand="0" w:noVBand="1" w:val="04A0"/>
      </w:tblPr>
      <w:tblGrid>
        <w:gridCol w:w="5083"/>
        <w:gridCol w:w="5083"/>
      </w:tblGrid>
      <w:tr>
        <w:trPr>
          <w:tblHeader w:val="true"/>
          <w:cantSplit/>
          <w:tblHeader/>
        </w:trPr>
        <w:tc>
          <w:tcPr>
            <w:tcW w:type="dxa" w:w="2448"/>
            <w:shd w:fill="122536"/>
            <w:tcMar>
              <w:top w:w="80" w:type="dxa"/>
              <w:start w:w="95" w:type="dxa"/>
              <w:bottom w:w="80" w:type="dxa"/>
              <w:end w:w="95" w:type="dxa"/>
            </w:tcMar>
          </w:tcPr>
          <w:p>
            <w:pPr>
              <w:keepNext w:val="0"/>
            </w:pPr>
            <w:r>
              <w:rPr>
                <w:b/>
                <w:color w:val="FFFFFF"/>
                <w:sz w:val="17"/>
              </w:rPr>
              <w:t>Section</w:t>
            </w:r>
          </w:p>
        </w:tc>
        <w:tc>
          <w:tcPr>
            <w:tcW w:type="dxa" w:w="7200"/>
            <w:shd w:fill="122536"/>
            <w:tcMar>
              <w:top w:w="80" w:type="dxa"/>
              <w:start w:w="95" w:type="dxa"/>
              <w:bottom w:w="80" w:type="dxa"/>
              <w:end w:w="95" w:type="dxa"/>
            </w:tcMar>
          </w:tcPr>
          <w:p>
            <w:pPr>
              <w:keepNext w:val="0"/>
            </w:pPr>
            <w:r>
              <w:rPr>
                <w:b/>
                <w:color w:val="FFFFFF"/>
                <w:sz w:val="17"/>
              </w:rPr>
              <w:t>Purpose</w:t>
            </w:r>
          </w:p>
        </w:tc>
      </w:tr>
      <w:tr>
        <w:trPr>
          <w:cantSplit/>
        </w:trPr>
        <w:tc>
          <w:tcPr>
            <w:tcW w:type="dxa" w:w="2448"/>
            <w:tcMar>
              <w:top w:w="80" w:type="dxa"/>
              <w:start w:w="95" w:type="dxa"/>
              <w:bottom w:w="80" w:type="dxa"/>
              <w:end w:w="95" w:type="dxa"/>
            </w:tcMar>
          </w:tcPr>
          <w:p>
            <w:pPr>
              <w:keepNext w:val="0"/>
            </w:pPr>
            <w:r>
              <w:t>1-3</w:t>
            </w:r>
          </w:p>
        </w:tc>
        <w:tc>
          <w:tcPr>
            <w:tcW w:type="dxa" w:w="7200"/>
            <w:tcMar>
              <w:top w:w="80" w:type="dxa"/>
              <w:start w:w="95" w:type="dxa"/>
              <w:bottom w:w="80" w:type="dxa"/>
              <w:end w:w="95" w:type="dxa"/>
            </w:tcMar>
          </w:tcPr>
          <w:p>
            <w:pPr>
              <w:keepNext w:val="0"/>
            </w:pPr>
            <w:r>
              <w:t>Operating posture, observability, daily/weekly routines</w:t>
            </w:r>
          </w:p>
        </w:tc>
      </w:tr>
    </w:tbl>
    <w:p>
      <w:pPr>
        <w:spacing w:after="20"/>
      </w:pPr>
    </w:p>
    <w:tbl>
      <w:tblPr>
        <w:tblStyle w:val="TableGrid"/>
        <w:tblW w:type="auto" w:w="0"/>
        <w:jc w:val="center"/>
        <w:tblLook w:firstColumn="1" w:firstRow="1" w:lastColumn="0" w:lastRow="0" w:noHBand="0" w:noVBand="1" w:val="04A0"/>
      </w:tblPr>
      <w:tblGrid>
        <w:gridCol w:w="5083"/>
        <w:gridCol w:w="5083"/>
      </w:tblGrid>
      <w:tr>
        <w:trPr>
          <w:tblHeader w:val="true"/>
          <w:cantSplit/>
          <w:tblHeader/>
        </w:trPr>
        <w:tc>
          <w:tcPr>
            <w:tcW w:type="dxa" w:w="2448"/>
            <w:shd w:fill="122536"/>
            <w:tcMar>
              <w:top w:w="80" w:type="dxa"/>
              <w:start w:w="95" w:type="dxa"/>
              <w:bottom w:w="80" w:type="dxa"/>
              <w:end w:w="95" w:type="dxa"/>
            </w:tcMar>
          </w:tcPr>
          <w:p>
            <w:pPr>
              <w:keepNext w:val="0"/>
            </w:pPr>
            <w:r>
              <w:rPr>
                <w:b/>
                <w:color w:val="FFFFFF"/>
                <w:sz w:val="17"/>
              </w:rPr>
              <w:t>Section</w:t>
            </w:r>
          </w:p>
        </w:tc>
        <w:tc>
          <w:tcPr>
            <w:tcW w:type="dxa" w:w="7200"/>
            <w:shd w:fill="122536"/>
            <w:tcMar>
              <w:top w:w="80" w:type="dxa"/>
              <w:start w:w="95" w:type="dxa"/>
              <w:bottom w:w="80" w:type="dxa"/>
              <w:end w:w="95" w:type="dxa"/>
            </w:tcMar>
          </w:tcPr>
          <w:p>
            <w:pPr>
              <w:keepNext w:val="0"/>
            </w:pPr>
            <w:r>
              <w:rPr>
                <w:b/>
                <w:color w:val="FFFFFF"/>
                <w:sz w:val="17"/>
              </w:rPr>
              <w:t>Purpose</w:t>
            </w:r>
          </w:p>
        </w:tc>
      </w:tr>
      <w:tr>
        <w:trPr>
          <w:cantSplit/>
        </w:trPr>
        <w:tc>
          <w:tcPr>
            <w:tcW w:type="dxa" w:w="2448"/>
            <w:tcMar>
              <w:top w:w="80" w:type="dxa"/>
              <w:start w:w="95" w:type="dxa"/>
              <w:bottom w:w="80" w:type="dxa"/>
              <w:end w:w="95" w:type="dxa"/>
            </w:tcMar>
          </w:tcPr>
          <w:p>
            <w:pPr>
              <w:keepNext w:val="0"/>
            </w:pPr>
            <w:r>
              <w:t>4</w:t>
            </w:r>
          </w:p>
        </w:tc>
        <w:tc>
          <w:tcPr>
            <w:tcW w:type="dxa" w:w="7200"/>
            <w:tcMar>
              <w:top w:w="80" w:type="dxa"/>
              <w:start w:w="95" w:type="dxa"/>
              <w:bottom w:w="80" w:type="dxa"/>
              <w:end w:w="95" w:type="dxa"/>
            </w:tcMar>
          </w:tcPr>
          <w:p>
            <w:pPr>
              <w:keepNext w:val="0"/>
            </w:pPr>
            <w:r>
              <w:t>Incident triage and evidence preservation</w:t>
            </w:r>
          </w:p>
        </w:tc>
      </w:tr>
    </w:tbl>
    <w:p>
      <w:pPr>
        <w:spacing w:after="20"/>
      </w:pPr>
    </w:p>
    <w:tbl>
      <w:tblPr>
        <w:tblStyle w:val="TableGrid"/>
        <w:tblW w:type="auto" w:w="0"/>
        <w:jc w:val="center"/>
        <w:tblLook w:firstColumn="1" w:firstRow="1" w:lastColumn="0" w:lastRow="0" w:noHBand="0" w:noVBand="1" w:val="04A0"/>
      </w:tblPr>
      <w:tblGrid>
        <w:gridCol w:w="5083"/>
        <w:gridCol w:w="5083"/>
      </w:tblGrid>
      <w:tr>
        <w:trPr>
          <w:tblHeader w:val="true"/>
          <w:cantSplit/>
          <w:tblHeader/>
        </w:trPr>
        <w:tc>
          <w:tcPr>
            <w:tcW w:type="dxa" w:w="2448"/>
            <w:shd w:fill="122536"/>
            <w:tcMar>
              <w:top w:w="80" w:type="dxa"/>
              <w:start w:w="95" w:type="dxa"/>
              <w:bottom w:w="80" w:type="dxa"/>
              <w:end w:w="95" w:type="dxa"/>
            </w:tcMar>
          </w:tcPr>
          <w:p>
            <w:pPr>
              <w:keepNext w:val="0"/>
            </w:pPr>
            <w:r>
              <w:rPr>
                <w:b/>
                <w:color w:val="FFFFFF"/>
                <w:sz w:val="17"/>
              </w:rPr>
              <w:t>Section</w:t>
            </w:r>
          </w:p>
        </w:tc>
        <w:tc>
          <w:tcPr>
            <w:tcW w:type="dxa" w:w="7200"/>
            <w:shd w:fill="122536"/>
            <w:tcMar>
              <w:top w:w="80" w:type="dxa"/>
              <w:start w:w="95" w:type="dxa"/>
              <w:bottom w:w="80" w:type="dxa"/>
              <w:end w:w="95" w:type="dxa"/>
            </w:tcMar>
          </w:tcPr>
          <w:p>
            <w:pPr>
              <w:keepNext w:val="0"/>
            </w:pPr>
            <w:r>
              <w:rPr>
                <w:b/>
                <w:color w:val="FFFFFF"/>
                <w:sz w:val="17"/>
              </w:rPr>
              <w:t>Purpose</w:t>
            </w:r>
          </w:p>
        </w:tc>
      </w:tr>
      <w:tr>
        <w:trPr>
          <w:cantSplit/>
        </w:trPr>
        <w:tc>
          <w:tcPr>
            <w:tcW w:type="dxa" w:w="2448"/>
            <w:tcMar>
              <w:top w:w="80" w:type="dxa"/>
              <w:start w:w="95" w:type="dxa"/>
              <w:bottom w:w="80" w:type="dxa"/>
              <w:end w:w="95" w:type="dxa"/>
            </w:tcMar>
          </w:tcPr>
          <w:p>
            <w:pPr>
              <w:keepNext w:val="0"/>
            </w:pPr>
            <w:r>
              <w:t>5-13</w:t>
            </w:r>
          </w:p>
        </w:tc>
        <w:tc>
          <w:tcPr>
            <w:tcW w:type="dxa" w:w="7200"/>
            <w:tcMar>
              <w:top w:w="80" w:type="dxa"/>
              <w:start w:w="95" w:type="dxa"/>
              <w:bottom w:w="80" w:type="dxa"/>
              <w:end w:w="95" w:type="dxa"/>
            </w:tcMar>
          </w:tcPr>
          <w:p>
            <w:pPr>
              <w:keepNext w:val="0"/>
            </w:pPr>
            <w:r>
              <w:t>Symptom-specific runbooks</w:t>
            </w:r>
          </w:p>
        </w:tc>
      </w:tr>
    </w:tbl>
    <w:p>
      <w:pPr>
        <w:spacing w:after="20"/>
      </w:pPr>
    </w:p>
    <w:tbl>
      <w:tblPr>
        <w:tblStyle w:val="TableGrid"/>
        <w:tblW w:type="auto" w:w="0"/>
        <w:jc w:val="center"/>
        <w:tblLook w:firstColumn="1" w:firstRow="1" w:lastColumn="0" w:lastRow="0" w:noHBand="0" w:noVBand="1" w:val="04A0"/>
      </w:tblPr>
      <w:tblGrid>
        <w:gridCol w:w="5083"/>
        <w:gridCol w:w="5083"/>
      </w:tblGrid>
      <w:tr>
        <w:trPr>
          <w:tblHeader w:val="true"/>
          <w:cantSplit/>
          <w:tblHeader/>
        </w:trPr>
        <w:tc>
          <w:tcPr>
            <w:tcW w:type="dxa" w:w="2448"/>
            <w:shd w:fill="122536"/>
            <w:tcMar>
              <w:top w:w="80" w:type="dxa"/>
              <w:start w:w="95" w:type="dxa"/>
              <w:bottom w:w="80" w:type="dxa"/>
              <w:end w:w="95" w:type="dxa"/>
            </w:tcMar>
          </w:tcPr>
          <w:p>
            <w:pPr>
              <w:keepNext w:val="0"/>
            </w:pPr>
            <w:r>
              <w:rPr>
                <w:b/>
                <w:color w:val="FFFFFF"/>
                <w:sz w:val="17"/>
              </w:rPr>
              <w:t>Section</w:t>
            </w:r>
          </w:p>
        </w:tc>
        <w:tc>
          <w:tcPr>
            <w:tcW w:type="dxa" w:w="7200"/>
            <w:shd w:fill="122536"/>
            <w:tcMar>
              <w:top w:w="80" w:type="dxa"/>
              <w:start w:w="95" w:type="dxa"/>
              <w:bottom w:w="80" w:type="dxa"/>
              <w:end w:w="95" w:type="dxa"/>
            </w:tcMar>
          </w:tcPr>
          <w:p>
            <w:pPr>
              <w:keepNext w:val="0"/>
            </w:pPr>
            <w:r>
              <w:rPr>
                <w:b/>
                <w:color w:val="FFFFFF"/>
                <w:sz w:val="17"/>
              </w:rPr>
              <w:t>Purpose</w:t>
            </w:r>
          </w:p>
        </w:tc>
      </w:tr>
      <w:tr>
        <w:trPr>
          <w:cantSplit/>
        </w:trPr>
        <w:tc>
          <w:tcPr>
            <w:tcW w:type="dxa" w:w="2448"/>
            <w:tcMar>
              <w:top w:w="80" w:type="dxa"/>
              <w:start w:w="95" w:type="dxa"/>
              <w:bottom w:w="80" w:type="dxa"/>
              <w:end w:w="95" w:type="dxa"/>
            </w:tcMar>
          </w:tcPr>
          <w:p>
            <w:pPr>
              <w:keepNext w:val="0"/>
            </w:pPr>
            <w:r>
              <w:t>14</w:t>
            </w:r>
          </w:p>
        </w:tc>
        <w:tc>
          <w:tcPr>
            <w:tcW w:type="dxa" w:w="7200"/>
            <w:tcMar>
              <w:top w:w="80" w:type="dxa"/>
              <w:start w:w="95" w:type="dxa"/>
              <w:bottom w:w="80" w:type="dxa"/>
              <w:end w:w="95" w:type="dxa"/>
            </w:tcMar>
          </w:tcPr>
          <w:p>
            <w:pPr>
              <w:keepNext w:val="0"/>
            </w:pPr>
            <w:r>
              <w:t>Return-to-service and post-incident review</w:t>
            </w:r>
          </w:p>
        </w:tc>
      </w:tr>
    </w:tbl>
    <w:p>
      <w:pPr>
        <w:spacing w:after="20"/>
      </w:pPr>
    </w:p>
    <w:tbl>
      <w:tblPr>
        <w:tblStyle w:val="TableGrid"/>
        <w:tblW w:type="auto" w:w="0"/>
        <w:jc w:val="center"/>
        <w:tblLook w:firstColumn="1" w:firstRow="1" w:lastColumn="0" w:lastRow="0" w:noHBand="0" w:noVBand="1" w:val="04A0"/>
      </w:tblPr>
      <w:tblGrid>
        <w:gridCol w:w="5083"/>
        <w:gridCol w:w="5083"/>
      </w:tblGrid>
      <w:tr>
        <w:trPr>
          <w:tblHeader w:val="true"/>
          <w:cantSplit/>
          <w:tblHeader/>
        </w:trPr>
        <w:tc>
          <w:tcPr>
            <w:tcW w:type="dxa" w:w="2448"/>
            <w:shd w:fill="122536"/>
            <w:tcMar>
              <w:top w:w="80" w:type="dxa"/>
              <w:start w:w="95" w:type="dxa"/>
              <w:bottom w:w="80" w:type="dxa"/>
              <w:end w:w="95" w:type="dxa"/>
            </w:tcMar>
          </w:tcPr>
          <w:p>
            <w:pPr>
              <w:keepNext w:val="0"/>
            </w:pPr>
            <w:r>
              <w:rPr>
                <w:b/>
                <w:color w:val="FFFFFF"/>
                <w:sz w:val="17"/>
              </w:rPr>
              <w:t>Section</w:t>
            </w:r>
          </w:p>
        </w:tc>
        <w:tc>
          <w:tcPr>
            <w:tcW w:type="dxa" w:w="7200"/>
            <w:shd w:fill="122536"/>
            <w:tcMar>
              <w:top w:w="80" w:type="dxa"/>
              <w:start w:w="95" w:type="dxa"/>
              <w:bottom w:w="80" w:type="dxa"/>
              <w:end w:w="95" w:type="dxa"/>
            </w:tcMar>
          </w:tcPr>
          <w:p>
            <w:pPr>
              <w:keepNext w:val="0"/>
            </w:pPr>
            <w:r>
              <w:rPr>
                <w:b/>
                <w:color w:val="FFFFFF"/>
                <w:sz w:val="17"/>
              </w:rPr>
              <w:t>Purpose</w:t>
            </w:r>
          </w:p>
        </w:tc>
      </w:tr>
      <w:tr>
        <w:trPr>
          <w:cantSplit/>
        </w:trPr>
        <w:tc>
          <w:tcPr>
            <w:tcW w:type="dxa" w:w="2448"/>
            <w:tcMar>
              <w:top w:w="80" w:type="dxa"/>
              <w:start w:w="95" w:type="dxa"/>
              <w:bottom w:w="80" w:type="dxa"/>
              <w:end w:w="95" w:type="dxa"/>
            </w:tcMar>
          </w:tcPr>
          <w:p>
            <w:pPr>
              <w:keepNext w:val="0"/>
            </w:pPr>
            <w:r>
              <w:t>Appendices</w:t>
            </w:r>
          </w:p>
        </w:tc>
        <w:tc>
          <w:tcPr>
            <w:tcW w:type="dxa" w:w="7200"/>
            <w:tcMar>
              <w:top w:w="80" w:type="dxa"/>
              <w:start w:w="95" w:type="dxa"/>
              <w:bottom w:w="80" w:type="dxa"/>
              <w:end w:w="95" w:type="dxa"/>
            </w:tcMar>
          </w:tcPr>
          <w:p>
            <w:pPr>
              <w:keepNext w:val="0"/>
            </w:pPr>
            <w:r>
              <w:t>Escalation matrix, command sequence, incident record template</w:t>
            </w:r>
          </w:p>
        </w:tc>
      </w:tr>
    </w:tbl>
    <w:p>
      <w:pPr>
        <w:spacing w:after="20"/>
      </w:pPr>
    </w:p>
    <w:p>
      <w:r>
        <w:br w:type="page"/>
      </w:r>
    </w:p>
    <w:p>
      <w:pPr>
        <w:pStyle w:val="Heading1"/>
      </w:pPr>
      <w:r>
        <w:t>Executive Overview</w:t>
      </w:r>
    </w:p>
    <w:p>
      <w:r>
        <w:t>This runbook starts from symptoms, not tools. Its purpose is to help an operator distinguish application, identity, GitHub, database, Azure runtime, and cost-control failures before making a change. The default response is inspect → classify → stabilize → recover → validate → document.</w:t>
      </w:r>
    </w:p>
    <w:p>
      <w:pPr>
        <w:keepNext/>
        <w:jc w:val="center"/>
      </w:pPr>
      <w:r>
        <w:drawing>
          <wp:inline xmlns:a="http://schemas.openxmlformats.org/drawingml/2006/main" xmlns:pic="http://schemas.openxmlformats.org/drawingml/2006/picture">
            <wp:extent cx="5989320" cy="2395728"/>
            <wp:docPr id="1" name="Picture 1" descr="Figure 1. Production incident triage. Understand the failure boundary before changing production." title="Figure 1"/>
            <wp:cNvGraphicFramePr>
              <a:graphicFrameLocks noChangeAspect="1"/>
            </wp:cNvGraphicFramePr>
            <a:graphic>
              <a:graphicData uri="http://schemas.openxmlformats.org/drawingml/2006/picture">
                <pic:pic>
                  <pic:nvPicPr>
                    <pic:cNvPr id="0" name="incident_triage.png"/>
                    <pic:cNvPicPr/>
                  </pic:nvPicPr>
                  <pic:blipFill>
                    <a:blip r:embed="rId11"/>
                    <a:stretch>
                      <a:fillRect/>
                    </a:stretch>
                  </pic:blipFill>
                  <pic:spPr>
                    <a:xfrm>
                      <a:off x="0" y="0"/>
                      <a:ext cx="5989320" cy="2395728"/>
                    </a:xfrm>
                    <a:prstGeom prst="rect"/>
                  </pic:spPr>
                </pic:pic>
              </a:graphicData>
            </a:graphic>
          </wp:inline>
        </w:drawing>
      </w:r>
    </w:p>
    <w:p>
      <w:pPr>
        <w:pStyle w:val="ETISCaption"/>
        <w:keepNext w:val="0"/>
        <w:keepLines/>
        <w:jc w:val="center"/>
      </w:pPr>
      <w:r>
        <w:t>Figure 1. Production incident triage. Understand the failure boundary before changing production.</w:t>
      </w:r>
      <w:r>
        <w:t xml:space="preserve"> Historical reference figure; current text governs.</w:t>
      </w:r>
    </w:p>
    <w:tbl>
      <w:tblPr>
        <w:tblW w:type="auto" w:w="0"/>
        <w:tblLook w:firstColumn="1" w:firstRow="1" w:lastColumn="0" w:lastRow="0" w:noHBand="0" w:noVBand="1" w:val="04A0"/>
      </w:tblPr>
      <w:tblGrid>
        <w:gridCol w:w="10166"/>
      </w:tblGrid>
      <w:tr>
        <w:trPr>
          <w:cantSplit/>
          <w:tblHeader/>
          <w:tblHeader/>
        </w:trPr>
        <w:tc>
          <w:tcPr>
            <w:tcW w:type="dxa" w:w="10166"/>
            <w:shd w:fill="FFF2CC"/>
            <w:tcMar>
              <w:top w:w="110" w:type="dxa"/>
              <w:start w:w="140" w:type="dxa"/>
              <w:bottom w:w="110" w:type="dxa"/>
              <w:end w:w="140" w:type="dxa"/>
            </w:tcMar>
          </w:tcPr>
          <w:p>
            <w:pPr>
              <w:keepNext w:val="0"/>
            </w:pPr>
            <w:r>
              <w:rPr>
                <w:b/>
                <w:color w:val="8A5A00"/>
                <w:sz w:val="18"/>
              </w:rPr>
              <w:t>INCIDENT RULE</w:t>
              <w:br/>
            </w:r>
            <w:r>
              <w:t>Do not perform speculative fixes on a healthy subsystem. Preserve the current revision, timestamps, error messages, and affected user/team context before mutation.</w:t>
            </w:r>
          </w:p>
        </w:tc>
      </w:tr>
    </w:tbl>
    <w:p>
      <w:pPr>
        <w:spacing w:after="20"/>
      </w:pPr>
    </w:p>
    <w:p>
      <w:pPr>
        <w:pStyle w:val="Heading1"/>
      </w:pPr>
      <w:r>
        <w:t>1. Production operating posture</w:t>
      </w:r>
    </w:p>
    <w:tbl>
      <w:tblPr>
        <w:tblStyle w:val="TableGrid"/>
        <w:tblW w:type="auto" w:w="0"/>
        <w:jc w:val="center"/>
        <w:tblLook w:firstColumn="1" w:firstRow="1" w:lastColumn="0" w:lastRow="0" w:noHBand="0" w:noVBand="1" w:val="04A0"/>
      </w:tblPr>
      <w:tblGrid>
        <w:gridCol w:w="5083"/>
        <w:gridCol w:w="5083"/>
      </w:tblGrid>
      <w:tr>
        <w:trPr>
          <w:tblHeader w:val="true"/>
          <w:cantSplit/>
          <w:tblHeader/>
        </w:trPr>
        <w:tc>
          <w:tcPr>
            <w:tcW w:type="dxa" w:w="2880"/>
            <w:shd w:fill="122536"/>
            <w:tcMar>
              <w:top w:w="80" w:type="dxa"/>
              <w:start w:w="95" w:type="dxa"/>
              <w:bottom w:w="80" w:type="dxa"/>
              <w:end w:w="95" w:type="dxa"/>
            </w:tcMar>
          </w:tcPr>
          <w:p>
            <w:pPr>
              <w:keepNext w:val="0"/>
            </w:pPr>
            <w:r>
              <w:rPr>
                <w:b/>
                <w:color w:val="FFFFFF"/>
                <w:sz w:val="17"/>
              </w:rPr>
              <w:t>Area</w:t>
            </w:r>
          </w:p>
        </w:tc>
        <w:tc>
          <w:tcPr>
            <w:tcW w:type="dxa" w:w="6768"/>
            <w:shd w:fill="122536"/>
            <w:tcMar>
              <w:top w:w="80" w:type="dxa"/>
              <w:start w:w="95" w:type="dxa"/>
              <w:bottom w:w="80" w:type="dxa"/>
              <w:end w:w="95" w:type="dxa"/>
            </w:tcMar>
          </w:tcPr>
          <w:p>
            <w:pPr>
              <w:keepNext w:val="0"/>
            </w:pPr>
            <w:r>
              <w:rPr>
                <w:b/>
                <w:color w:val="FFFFFF"/>
                <w:sz w:val="17"/>
              </w:rPr>
              <w:t>Normal posture</w:t>
            </w:r>
          </w:p>
        </w:tc>
      </w:tr>
      <w:tr>
        <w:trPr>
          <w:cantSplit/>
        </w:trPr>
        <w:tc>
          <w:tcPr>
            <w:tcW w:type="dxa" w:w="2880"/>
            <w:tcMar>
              <w:top w:w="80" w:type="dxa"/>
              <w:start w:w="95" w:type="dxa"/>
              <w:bottom w:w="80" w:type="dxa"/>
              <w:end w:w="95" w:type="dxa"/>
            </w:tcMar>
          </w:tcPr>
          <w:p>
            <w:pPr>
              <w:keepNext w:val="0"/>
            </w:pPr>
            <w:r>
              <w:t>Container App</w:t>
            </w:r>
          </w:p>
        </w:tc>
        <w:tc>
          <w:tcPr>
            <w:tcW w:type="dxa" w:w="6768"/>
            <w:tcMar>
              <w:top w:w="80" w:type="dxa"/>
              <w:start w:w="95" w:type="dxa"/>
              <w:bottom w:w="80" w:type="dxa"/>
              <w:end w:w="95" w:type="dxa"/>
            </w:tcMar>
          </w:tcPr>
          <w:p>
            <w:pPr>
              <w:keepNext w:val="0"/>
            </w:pPr>
            <w:r>
              <w:t>Single revision mode; min/max 1/5; at least one warm running replica during semester</w:t>
            </w:r>
          </w:p>
        </w:tc>
      </w:tr>
      <w:tr>
        <w:trPr>
          <w:cantSplit/>
        </w:trPr>
        <w:tc>
          <w:tcPr>
            <w:tcW w:type="dxa" w:w="2880"/>
            <w:tcMar>
              <w:top w:w="80" w:type="dxa"/>
              <w:start w:w="95" w:type="dxa"/>
              <w:bottom w:w="80" w:type="dxa"/>
              <w:end w:w="95" w:type="dxa"/>
            </w:tcMar>
          </w:tcPr>
          <w:p>
            <w:pPr>
              <w:keepNext w:val="0"/>
            </w:pPr>
            <w:r>
              <w:t>Public service</w:t>
            </w:r>
          </w:p>
        </w:tc>
        <w:tc>
          <w:tcPr>
            <w:tcW w:type="dxa" w:w="6768"/>
            <w:tcMar>
              <w:top w:w="80" w:type="dxa"/>
              <w:start w:w="95" w:type="dxa"/>
              <w:bottom w:w="80" w:type="dxa"/>
              <w:end w:w="95" w:type="dxa"/>
            </w:tcMar>
          </w:tcPr>
          <w:p>
            <w:pPr>
              <w:keepNext w:val="0"/>
            </w:pPr>
            <w:r>
              <w:t>HTTPS at simulator.etisframework.org</w:t>
            </w:r>
          </w:p>
        </w:tc>
      </w:tr>
      <w:tr>
        <w:trPr>
          <w:cantSplit/>
        </w:trPr>
        <w:tc>
          <w:tcPr>
            <w:tcW w:type="dxa" w:w="2880"/>
            <w:tcMar>
              <w:top w:w="80" w:type="dxa"/>
              <w:start w:w="95" w:type="dxa"/>
              <w:bottom w:w="80" w:type="dxa"/>
              <w:end w:w="95" w:type="dxa"/>
            </w:tcMar>
          </w:tcPr>
          <w:p>
            <w:pPr>
              <w:keepNext w:val="0"/>
            </w:pPr>
            <w:r>
              <w:t>Database</w:t>
            </w:r>
          </w:p>
        </w:tc>
        <w:tc>
          <w:tcPr>
            <w:tcW w:type="dxa" w:w="6768"/>
            <w:tcMar>
              <w:top w:w="80" w:type="dxa"/>
              <w:start w:w="95" w:type="dxa"/>
              <w:bottom w:w="80" w:type="dxa"/>
              <w:end w:w="95" w:type="dxa"/>
            </w:tcMar>
          </w:tcPr>
          <w:p>
            <w:pPr>
              <w:keepNext w:val="0"/>
            </w:pPr>
            <w:r>
              <w:t>Private PostgreSQL Flexible Server; migrations current</w:t>
            </w:r>
          </w:p>
        </w:tc>
      </w:tr>
      <w:tr>
        <w:trPr>
          <w:cantSplit/>
        </w:trPr>
        <w:tc>
          <w:tcPr>
            <w:tcW w:type="dxa" w:w="2880"/>
            <w:tcMar>
              <w:top w:w="80" w:type="dxa"/>
              <w:start w:w="95" w:type="dxa"/>
              <w:bottom w:w="80" w:type="dxa"/>
              <w:end w:w="95" w:type="dxa"/>
            </w:tcMar>
          </w:tcPr>
          <w:p>
            <w:pPr>
              <w:keepNext w:val="0"/>
            </w:pPr>
            <w:r>
              <w:t>Identity</w:t>
            </w:r>
          </w:p>
        </w:tc>
        <w:tc>
          <w:tcPr>
            <w:tcW w:type="dxa" w:w="6768"/>
            <w:tcMar>
              <w:top w:w="80" w:type="dxa"/>
              <w:start w:w="95" w:type="dxa"/>
              <w:bottom w:w="80" w:type="dxa"/>
              <w:end w:w="95" w:type="dxa"/>
            </w:tcMar>
          </w:tcPr>
          <w:p>
            <w:pPr>
              <w:keepNext w:val="0"/>
            </w:pPr>
            <w:r>
              <w:t>Loyola Entra authentication plus ETIS course authorization</w:t>
            </w:r>
          </w:p>
        </w:tc>
      </w:tr>
      <w:tr>
        <w:trPr>
          <w:cantSplit/>
        </w:trPr>
        <w:tc>
          <w:tcPr>
            <w:tcW w:type="dxa" w:w="2880"/>
            <w:tcMar>
              <w:top w:w="80" w:type="dxa"/>
              <w:start w:w="95" w:type="dxa"/>
              <w:bottom w:w="80" w:type="dxa"/>
              <w:end w:w="95" w:type="dxa"/>
            </w:tcMar>
          </w:tcPr>
          <w:p>
            <w:pPr>
              <w:keepNext w:val="0"/>
            </w:pPr>
            <w:r>
              <w:t>Repository evidence</w:t>
            </w:r>
          </w:p>
        </w:tc>
        <w:tc>
          <w:tcPr>
            <w:tcW w:type="dxa" w:w="6768"/>
            <w:tcMar>
              <w:top w:w="80" w:type="dxa"/>
              <w:start w:w="95" w:type="dxa"/>
              <w:bottom w:w="80" w:type="dxa"/>
              <w:end w:w="95" w:type="dxa"/>
            </w:tcMar>
          </w:tcPr>
          <w:p>
            <w:pPr>
              <w:keepNext w:val="0"/>
            </w:pPr>
            <w:r>
              <w:t>GitHub App read-only selected-repository access; GitHub OAuth identity link separate</w:t>
            </w:r>
          </w:p>
        </w:tc>
      </w:tr>
      <w:tr>
        <w:trPr>
          <w:cantSplit/>
        </w:trPr>
        <w:tc>
          <w:tcPr>
            <w:tcW w:type="dxa" w:w="2880"/>
            <w:tcMar>
              <w:top w:w="80" w:type="dxa"/>
              <w:start w:w="95" w:type="dxa"/>
              <w:bottom w:w="80" w:type="dxa"/>
              <w:end w:w="95" w:type="dxa"/>
            </w:tcMar>
          </w:tcPr>
          <w:p>
            <w:pPr>
              <w:keepNext w:val="0"/>
            </w:pPr>
            <w:r>
              <w:t>Deployment</w:t>
            </w:r>
          </w:p>
        </w:tc>
        <w:tc>
          <w:tcPr>
            <w:tcW w:type="dxa" w:w="6768"/>
            <w:tcMar>
              <w:top w:w="80" w:type="dxa"/>
              <w:start w:w="95" w:type="dxa"/>
              <w:bottom w:w="80" w:type="dxa"/>
              <w:end w:w="95" w:type="dxa"/>
            </w:tcMar>
          </w:tcPr>
          <w:p>
            <w:pPr>
              <w:keepNext w:val="0"/>
            </w:pPr>
            <w:r>
              <w:t>Protected GitHub workflow; no local deploy command</w:t>
            </w:r>
          </w:p>
        </w:tc>
      </w:tr>
      <w:tr>
        <w:trPr>
          <w:cantSplit/>
        </w:trPr>
        <w:tc>
          <w:tcPr>
            <w:tcW w:type="dxa" w:w="2880"/>
            <w:tcMar>
              <w:top w:w="80" w:type="dxa"/>
              <w:start w:w="95" w:type="dxa"/>
              <w:bottom w:w="80" w:type="dxa"/>
              <w:end w:w="95" w:type="dxa"/>
            </w:tcMar>
          </w:tcPr>
          <w:p>
            <w:pPr>
              <w:keepNext w:val="0"/>
            </w:pPr>
            <w:r>
              <w:t>Observability</w:t>
            </w:r>
          </w:p>
        </w:tc>
        <w:tc>
          <w:tcPr>
            <w:tcW w:type="dxa" w:w="6768"/>
            <w:tcMar>
              <w:top w:w="80" w:type="dxa"/>
              <w:start w:w="95" w:type="dxa"/>
              <w:bottom w:w="80" w:type="dxa"/>
              <w:end w:w="95" w:type="dxa"/>
            </w:tcMar>
          </w:tcPr>
          <w:p>
            <w:pPr>
              <w:keepNext w:val="0"/>
            </w:pPr>
            <w:r>
              <w:t>Application Insights/Log Analytics plus four core Azure Monitor alert rules</w:t>
            </w:r>
          </w:p>
        </w:tc>
      </w:tr>
      <w:tr>
        <w:trPr>
          <w:cantSplit/>
        </w:trPr>
        <w:tc>
          <w:tcPr>
            <w:tcW w:type="dxa" w:w="2880"/>
            <w:tcMar>
              <w:top w:w="80" w:type="dxa"/>
              <w:start w:w="95" w:type="dxa"/>
              <w:bottom w:w="80" w:type="dxa"/>
              <w:end w:w="95" w:type="dxa"/>
            </w:tcMar>
          </w:tcPr>
          <w:p>
            <w:pPr>
              <w:keepNext w:val="0"/>
            </w:pPr>
            <w:r>
              <w:t>Cost</w:t>
            </w:r>
          </w:p>
        </w:tc>
        <w:tc>
          <w:tcPr>
            <w:tcW w:type="dxa" w:w="6768"/>
            <w:tcMar>
              <w:top w:w="80" w:type="dxa"/>
              <w:start w:w="95" w:type="dxa"/>
              <w:bottom w:w="80" w:type="dxa"/>
              <w:end w:w="95" w:type="dxa"/>
            </w:tcMar>
          </w:tcPr>
          <w:p>
            <w:pPr>
              <w:keepNext w:val="0"/>
            </w:pPr>
            <w:r>
              <w:t>Budget $100/month; 50/80/100% actual-cost alerts; advisory telemetry</w:t>
            </w:r>
          </w:p>
        </w:tc>
      </w:tr>
    </w:tbl>
    <w:p>
      <w:pPr>
        <w:spacing w:after="20"/>
      </w:pPr>
    </w:p>
    <w:p>
      <w:pPr>
        <w:pStyle w:val="Heading1"/>
      </w:pPr>
      <w:r>
        <w:t>2. Monitoring and alert baseline</w:t>
      </w:r>
    </w:p>
    <w:p>
      <w:pPr>
        <w:keepNext/>
        <w:jc w:val="center"/>
      </w:pPr>
      <w:r>
        <w:drawing>
          <wp:inline xmlns:a="http://schemas.openxmlformats.org/drawingml/2006/main" xmlns:pic="http://schemas.openxmlformats.org/drawingml/2006/picture">
            <wp:extent cx="5989320" cy="2324956"/>
            <wp:docPr id="2" name="Picture 2" descr="Figure 2. Production Azure Monitor alert rules. The accepted baseline covers Container App restarts, HTTP 5xx, PostgreSQL availability, and PostgreSQL storage pressure." title="Figure 2"/>
            <wp:cNvGraphicFramePr>
              <a:graphicFrameLocks noChangeAspect="1"/>
            </wp:cNvGraphicFramePr>
            <a:graphic>
              <a:graphicData uri="http://schemas.openxmlformats.org/drawingml/2006/picture">
                <pic:pic>
                  <pic:nvPicPr>
                    <pic:cNvPr id="0" name="alerts_crop.jpg"/>
                    <pic:cNvPicPr/>
                  </pic:nvPicPr>
                  <pic:blipFill>
                    <a:blip r:embed="rId12"/>
                    <a:stretch>
                      <a:fillRect/>
                    </a:stretch>
                  </pic:blipFill>
                  <pic:spPr>
                    <a:xfrm>
                      <a:off x="0" y="0"/>
                      <a:ext cx="5989320" cy="2324956"/>
                    </a:xfrm>
                    <a:prstGeom prst="rect"/>
                  </pic:spPr>
                </pic:pic>
              </a:graphicData>
            </a:graphic>
          </wp:inline>
        </w:drawing>
      </w:r>
    </w:p>
    <w:p>
      <w:pPr>
        <w:pStyle w:val="ETISCaption"/>
        <w:keepNext w:val="0"/>
        <w:keepLines/>
        <w:jc w:val="center"/>
      </w:pPr>
      <w:r>
        <w:t>Figure 2. Production Azure Monitor alert rules. The accepted baseline covers Container App restarts, HTTP 5xx, PostgreSQL availability, and PostgreSQL storage pressure.</w:t>
      </w:r>
      <w:r>
        <w:t xml:space="preserve"> Historical reference figure; current text governs.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blHeader/>
        </w:trPr>
        <w:tc>
          <w:tcPr>
            <w:tcW w:type="dxa" w:w="2376"/>
            <w:shd w:fill="122536"/>
            <w:tcMar>
              <w:top w:w="80" w:type="dxa"/>
              <w:start w:w="95" w:type="dxa"/>
              <w:bottom w:w="80" w:type="dxa"/>
              <w:end w:w="95" w:type="dxa"/>
            </w:tcMar>
          </w:tcPr>
          <w:p>
            <w:pPr>
              <w:keepNext w:val="0"/>
            </w:pPr>
            <w:r>
              <w:rPr>
                <w:b/>
                <w:color w:val="FFFFFF"/>
                <w:sz w:val="17"/>
              </w:rPr>
              <w:t>Alert</w:t>
            </w:r>
          </w:p>
        </w:tc>
        <w:tc>
          <w:tcPr>
            <w:tcW w:type="dxa" w:w="2304"/>
            <w:shd w:fill="122536"/>
            <w:tcMar>
              <w:top w:w="80" w:type="dxa"/>
              <w:start w:w="95" w:type="dxa"/>
              <w:bottom w:w="80" w:type="dxa"/>
              <w:end w:w="95" w:type="dxa"/>
            </w:tcMar>
          </w:tcPr>
          <w:p>
            <w:pPr>
              <w:keepNext w:val="0"/>
            </w:pPr>
            <w:r>
              <w:rPr>
                <w:b/>
                <w:color w:val="FFFFFF"/>
                <w:sz w:val="17"/>
              </w:rPr>
              <w:t>Condition</w:t>
            </w:r>
          </w:p>
        </w:tc>
        <w:tc>
          <w:tcPr>
            <w:tcW w:type="dxa" w:w="1440"/>
            <w:shd w:fill="122536"/>
            <w:tcMar>
              <w:top w:w="80" w:type="dxa"/>
              <w:start w:w="95" w:type="dxa"/>
              <w:bottom w:w="80" w:type="dxa"/>
              <w:end w:w="95" w:type="dxa"/>
            </w:tcMar>
          </w:tcPr>
          <w:p>
            <w:pPr>
              <w:keepNext w:val="0"/>
            </w:pPr>
            <w:r>
              <w:rPr>
                <w:b/>
                <w:color w:val="FFFFFF"/>
                <w:sz w:val="17"/>
              </w:rPr>
              <w:t>Severity</w:t>
            </w:r>
          </w:p>
        </w:tc>
        <w:tc>
          <w:tcPr>
            <w:tcW w:type="dxa" w:w="3456"/>
            <w:shd w:fill="122536"/>
            <w:tcMar>
              <w:top w:w="80" w:type="dxa"/>
              <w:start w:w="95" w:type="dxa"/>
              <w:bottom w:w="80" w:type="dxa"/>
              <w:end w:w="95" w:type="dxa"/>
            </w:tcMar>
          </w:tcPr>
          <w:p>
            <w:pPr>
              <w:keepNext w:val="0"/>
            </w:pPr>
            <w:r>
              <w:rPr>
                <w:b/>
                <w:color w:val="FFFFFF"/>
                <w:sz w:val="17"/>
              </w:rPr>
              <w:t>Response</w:t>
            </w:r>
          </w:p>
        </w:tc>
      </w:tr>
      <w:tr>
        <w:trPr>
          <w:cantSplit/>
        </w:trPr>
        <w:tc>
          <w:tcPr>
            <w:tcW w:type="dxa" w:w="2376"/>
            <w:tcMar>
              <w:top w:w="80" w:type="dxa"/>
              <w:start w:w="95" w:type="dxa"/>
              <w:bottom w:w="80" w:type="dxa"/>
              <w:end w:w="95" w:type="dxa"/>
            </w:tcMar>
          </w:tcPr>
          <w:p>
            <w:pPr>
              <w:keepNext w:val="0"/>
            </w:pPr>
            <w:r>
              <w:t>Container restart</w:t>
            </w:r>
          </w:p>
        </w:tc>
        <w:tc>
          <w:tcPr>
            <w:tcW w:type="dxa" w:w="2304"/>
            <w:tcMar>
              <w:top w:w="80" w:type="dxa"/>
              <w:start w:w="95" w:type="dxa"/>
              <w:bottom w:w="80" w:type="dxa"/>
              <w:end w:w="95" w:type="dxa"/>
            </w:tcMar>
          </w:tcPr>
          <w:p>
            <w:pPr>
              <w:keepNext w:val="0"/>
            </w:pPr>
            <w:r>
              <w:t>RestartCount &gt;= 1</w:t>
            </w:r>
          </w:p>
        </w:tc>
        <w:tc>
          <w:tcPr>
            <w:tcW w:type="dxa" w:w="1440"/>
            <w:tcMar>
              <w:top w:w="80" w:type="dxa"/>
              <w:start w:w="95" w:type="dxa"/>
              <w:bottom w:w="80" w:type="dxa"/>
              <w:end w:w="95" w:type="dxa"/>
            </w:tcMar>
          </w:tcPr>
          <w:p>
            <w:pPr>
              <w:keepNext w:val="0"/>
            </w:pPr>
            <w:r>
              <w:t>Warning</w:t>
            </w:r>
          </w:p>
        </w:tc>
        <w:tc>
          <w:tcPr>
            <w:tcW w:type="dxa" w:w="3456"/>
            <w:tcMar>
              <w:top w:w="80" w:type="dxa"/>
              <w:start w:w="95" w:type="dxa"/>
              <w:bottom w:w="80" w:type="dxa"/>
              <w:end w:w="95" w:type="dxa"/>
            </w:tcMar>
          </w:tcPr>
          <w:p>
            <w:pPr>
              <w:keepNext w:val="0"/>
            </w:pPr>
            <w:r>
              <w:t>Check `replicas` and `logs`; correlate with deployments and dependency failures.</w:t>
            </w:r>
          </w:p>
        </w:tc>
      </w:tr>
      <w:tr>
        <w:trPr>
          <w:cantSplit/>
        </w:trPr>
        <w:tc>
          <w:tcPr>
            <w:tcW w:type="dxa" w:w="2376"/>
            <w:tcMar>
              <w:top w:w="80" w:type="dxa"/>
              <w:start w:w="95" w:type="dxa"/>
              <w:bottom w:w="80" w:type="dxa"/>
              <w:end w:w="95" w:type="dxa"/>
            </w:tcMar>
          </w:tcPr>
          <w:p>
            <w:pPr>
              <w:keepNext w:val="0"/>
            </w:pPr>
            <w:r>
              <w:t>HTTP 5xx</w:t>
            </w:r>
          </w:p>
        </w:tc>
        <w:tc>
          <w:tcPr>
            <w:tcW w:type="dxa" w:w="2304"/>
            <w:tcMar>
              <w:top w:w="80" w:type="dxa"/>
              <w:start w:w="95" w:type="dxa"/>
              <w:bottom w:w="80" w:type="dxa"/>
              <w:end w:w="95" w:type="dxa"/>
            </w:tcMar>
          </w:tcPr>
          <w:p>
            <w:pPr>
              <w:keepNext w:val="0"/>
            </w:pPr>
            <w:r>
              <w:t>Requests &gt;= 1</w:t>
            </w:r>
          </w:p>
        </w:tc>
        <w:tc>
          <w:tcPr>
            <w:tcW w:type="dxa" w:w="1440"/>
            <w:tcMar>
              <w:top w:w="80" w:type="dxa"/>
              <w:start w:w="95" w:type="dxa"/>
              <w:bottom w:w="80" w:type="dxa"/>
              <w:end w:w="95" w:type="dxa"/>
            </w:tcMar>
          </w:tcPr>
          <w:p>
            <w:pPr>
              <w:keepNext w:val="0"/>
            </w:pPr>
            <w:r>
              <w:t>Error</w:t>
            </w:r>
          </w:p>
        </w:tc>
        <w:tc>
          <w:tcPr>
            <w:tcW w:type="dxa" w:w="3456"/>
            <w:tcMar>
              <w:top w:w="80" w:type="dxa"/>
              <w:start w:w="95" w:type="dxa"/>
              <w:bottom w:w="80" w:type="dxa"/>
              <w:end w:w="95" w:type="dxa"/>
            </w:tcMar>
          </w:tcPr>
          <w:p>
            <w:pPr>
              <w:keepNext w:val="0"/>
            </w:pPr>
            <w:r>
              <w:t>Run `health`, `logs`, and review request timing; determine whether failure is isolated or systemic.</w:t>
            </w:r>
          </w:p>
        </w:tc>
      </w:tr>
      <w:tr>
        <w:trPr>
          <w:cantSplit/>
        </w:trPr>
        <w:tc>
          <w:tcPr>
            <w:tcW w:type="dxa" w:w="2376"/>
            <w:tcMar>
              <w:top w:w="80" w:type="dxa"/>
              <w:start w:w="95" w:type="dxa"/>
              <w:bottom w:w="80" w:type="dxa"/>
              <w:end w:w="95" w:type="dxa"/>
            </w:tcMar>
          </w:tcPr>
          <w:p>
            <w:pPr>
              <w:keepNext w:val="0"/>
            </w:pPr>
            <w:r>
              <w:t>PostgreSQL availability</w:t>
            </w:r>
          </w:p>
        </w:tc>
        <w:tc>
          <w:tcPr>
            <w:tcW w:type="dxa" w:w="2304"/>
            <w:tcMar>
              <w:top w:w="80" w:type="dxa"/>
              <w:start w:w="95" w:type="dxa"/>
              <w:bottom w:w="80" w:type="dxa"/>
              <w:end w:w="95" w:type="dxa"/>
            </w:tcMar>
          </w:tcPr>
          <w:p>
            <w:pPr>
              <w:keepNext w:val="0"/>
            </w:pPr>
            <w:r>
              <w:t>is_db_alive &lt; 1</w:t>
            </w:r>
          </w:p>
        </w:tc>
        <w:tc>
          <w:tcPr>
            <w:tcW w:type="dxa" w:w="1440"/>
            <w:tcMar>
              <w:top w:w="80" w:type="dxa"/>
              <w:start w:w="95" w:type="dxa"/>
              <w:bottom w:w="80" w:type="dxa"/>
              <w:end w:w="95" w:type="dxa"/>
            </w:tcMar>
          </w:tcPr>
          <w:p>
            <w:pPr>
              <w:keepNext w:val="0"/>
            </w:pPr>
            <w:r>
              <w:t>Critical</w:t>
            </w:r>
          </w:p>
        </w:tc>
        <w:tc>
          <w:tcPr>
            <w:tcW w:type="dxa" w:w="3456"/>
            <w:tcMar>
              <w:top w:w="80" w:type="dxa"/>
              <w:start w:w="95" w:type="dxa"/>
              <w:bottom w:w="80" w:type="dxa"/>
              <w:end w:w="95" w:type="dxa"/>
            </w:tcMar>
          </w:tcPr>
          <w:p>
            <w:pPr>
              <w:keepNext w:val="0"/>
            </w:pPr>
            <w:r>
              <w:t>Treat as a database availability incident. Block acceptance and move to recovery/DB diagnostics.</w:t>
            </w:r>
          </w:p>
        </w:tc>
      </w:tr>
      <w:tr>
        <w:trPr>
          <w:cantSplit/>
        </w:trPr>
        <w:tc>
          <w:tcPr>
            <w:tcW w:type="dxa" w:w="2376"/>
            <w:tcMar>
              <w:top w:w="80" w:type="dxa"/>
              <w:start w:w="95" w:type="dxa"/>
              <w:bottom w:w="80" w:type="dxa"/>
              <w:end w:w="95" w:type="dxa"/>
            </w:tcMar>
          </w:tcPr>
          <w:p>
            <w:pPr>
              <w:keepNext w:val="0"/>
            </w:pPr>
            <w:r>
              <w:t>PostgreSQL storage</w:t>
            </w:r>
          </w:p>
        </w:tc>
        <w:tc>
          <w:tcPr>
            <w:tcW w:type="dxa" w:w="2304"/>
            <w:tcMar>
              <w:top w:w="80" w:type="dxa"/>
              <w:start w:w="95" w:type="dxa"/>
              <w:bottom w:w="80" w:type="dxa"/>
              <w:end w:w="95" w:type="dxa"/>
            </w:tcMar>
          </w:tcPr>
          <w:p>
            <w:pPr>
              <w:keepNext w:val="0"/>
            </w:pPr>
            <w:r>
              <w:t>storage_percent &gt;= 80</w:t>
            </w:r>
          </w:p>
        </w:tc>
        <w:tc>
          <w:tcPr>
            <w:tcW w:type="dxa" w:w="1440"/>
            <w:tcMar>
              <w:top w:w="80" w:type="dxa"/>
              <w:start w:w="95" w:type="dxa"/>
              <w:bottom w:w="80" w:type="dxa"/>
              <w:end w:w="95" w:type="dxa"/>
            </w:tcMar>
          </w:tcPr>
          <w:p>
            <w:pPr>
              <w:keepNext w:val="0"/>
            </w:pPr>
            <w:r>
              <w:t>Warning</w:t>
            </w:r>
          </w:p>
        </w:tc>
        <w:tc>
          <w:tcPr>
            <w:tcW w:type="dxa" w:w="3456"/>
            <w:tcMar>
              <w:top w:w="80" w:type="dxa"/>
              <w:start w:w="95" w:type="dxa"/>
              <w:bottom w:w="80" w:type="dxa"/>
              <w:end w:w="95" w:type="dxa"/>
            </w:tcMar>
          </w:tcPr>
          <w:p>
            <w:pPr>
              <w:keepNext w:val="0"/>
            </w:pPr>
            <w:r>
              <w:t>Review growth and capacity before exhaustion. This is a stewardship/reliability signal, not a reason to delete data.</w:t>
            </w:r>
          </w:p>
        </w:tc>
      </w:tr>
    </w:tbl>
    <w:p>
      <w:pPr>
        <w:spacing w:after="20"/>
      </w:pPr>
    </w:p>
    <w:p>
      <w:pPr>
        <w:pStyle w:val="Heading1"/>
      </w:pPr>
      <w:r>
        <w:t>3. Routine operating cadence</w:t>
      </w:r>
    </w:p>
    <w:p>
      <w:pPr>
        <w:pStyle w:val="Heading2"/>
      </w:pPr>
      <w:r>
        <w:t>3.1 Before class / high-use period</w:t>
      </w:r>
    </w:p>
    <w:tbl>
      <w:tblPr>
        <w:tblW w:type="auto" w:w="0"/>
        <w:tblLook w:firstColumn="1" w:firstRow="1" w:lastColumn="0" w:lastRow="0" w:noHBand="0" w:noVBand="1" w:val="04A0"/>
      </w:tblPr>
      <w:tblGrid>
        <w:gridCol w:w="10166"/>
      </w:tblGrid>
      <w:tr>
        <w:trPr>
          <w:cantSplit/>
          <w:tblHeader/>
          <w:tblHeader/>
        </w:trPr>
        <w:tc>
          <w:tcPr>
            <w:tcW w:type="dxa" w:w="10166"/>
            <w:shd w:fill="F3F5F7"/>
            <w:tcMar>
              <w:top w:w="100" w:type="dxa"/>
              <w:start w:w="120" w:type="dxa"/>
              <w:bottom w:w="100" w:type="dxa"/>
              <w:end w:w="120" w:type="dxa"/>
            </w:tcMar>
          </w:tcPr>
          <w:p>
            <w:pPr>
              <w:pStyle w:val="ETISCode"/>
              <w:keepNext w:val="0"/>
              <w:spacing w:after="0"/>
            </w:pPr>
            <w:r>
              <w:t>./scripts/azure/etis-azure status</w:t>
            </w:r>
            <w:r>
              <w:br/>
            </w:r>
            <w:r>
              <w:t>./scripts/azure/etis-azure health</w:t>
            </w:r>
          </w:p>
        </w:tc>
      </w:tr>
    </w:tbl>
    <w:p>
      <w:pPr>
        <w:spacing w:after="20"/>
      </w:pPr>
    </w:p>
    <w:p>
      <w:pPr>
        <w:pStyle w:val="ListBullet"/>
        <w:spacing w:after="40"/>
      </w:pPr>
      <w:r>
        <w:t>If both pass, the platform has a healthy basic operating posture.</w:t>
      </w:r>
    </w:p>
    <w:p>
      <w:pPr>
        <w:pStyle w:val="ListBullet"/>
        <w:spacing w:after="40"/>
      </w:pPr>
      <w:r>
        <w:t>If a deployment occurred, run full acceptance instead.</w:t>
      </w:r>
    </w:p>
    <w:p>
      <w:pPr>
        <w:pStyle w:val="ListBullet"/>
        <w:spacing w:after="40"/>
      </w:pPr>
      <w:r>
        <w:t>If students report access issues while platform health passes, shift to identity/course/GitHub triage rather than restarting Azure.</w:t>
      </w:r>
    </w:p>
    <w:p>
      <w:pPr>
        <w:pStyle w:val="Heading2"/>
      </w:pPr>
      <w:r>
        <w:t>3.2 After deployment</w:t>
      </w:r>
    </w:p>
    <w:tbl>
      <w:tblPr>
        <w:tblW w:type="auto" w:w="0"/>
        <w:tblLook w:firstColumn="1" w:firstRow="1" w:lastColumn="0" w:lastRow="0" w:noHBand="0" w:noVBand="1" w:val="04A0"/>
      </w:tblPr>
      <w:tblGrid>
        <w:gridCol w:w="10166"/>
      </w:tblGrid>
      <w:tr>
        <w:trPr>
          <w:cantSplit/>
          <w:tblHeader/>
          <w:tblHeader/>
        </w:trPr>
        <w:tc>
          <w:tcPr>
            <w:tcW w:type="dxa" w:w="10166"/>
            <w:shd w:fill="F3F5F7"/>
            <w:tcMar>
              <w:top w:w="100" w:type="dxa"/>
              <w:start w:w="120" w:type="dxa"/>
              <w:bottom w:w="100" w:type="dxa"/>
              <w:end w:w="120" w:type="dxa"/>
            </w:tcMar>
          </w:tcPr>
          <w:p>
            <w:pPr>
              <w:pStyle w:val="ETISCode"/>
              <w:keepNext w:val="0"/>
              <w:spacing w:after="0"/>
            </w:pPr>
            <w:r>
              <w:t>./scripts/azure/etis-azure acceptance</w:t>
            </w:r>
          </w:p>
        </w:tc>
      </w:tr>
    </w:tbl>
    <w:p>
      <w:pPr>
        <w:spacing w:after="20"/>
      </w:pPr>
    </w:p>
    <w:p>
      <w:r>
        <w:t>The required acceptance gates are production status, health, replica capacity, external smoke test, drift, and budget controls. Cost telemetry is informational.</w:t>
      </w:r>
    </w:p>
    <w:p>
      <w:pPr>
        <w:pStyle w:val="Heading2"/>
      </w:pPr>
      <w:r>
        <w:t>3.3 Weekly stewardship</w:t>
      </w:r>
    </w:p>
    <w:p>
      <w:pPr>
        <w:pStyle w:val="ListBullet"/>
        <w:spacing w:after="40"/>
      </w:pPr>
      <w:r>
        <w:t>Review Azure Monitor alerts and any recurring restart/5xx pattern.</w:t>
      </w:r>
    </w:p>
    <w:p>
      <w:pPr>
        <w:pStyle w:val="ListBullet"/>
        <w:spacing w:after="40"/>
      </w:pPr>
      <w:r>
        <w:t>Run `budget`; review `cost` if available.</w:t>
      </w:r>
    </w:p>
    <w:p>
      <w:pPr>
        <w:pStyle w:val="ListBullet"/>
        <w:spacing w:after="40"/>
      </w:pPr>
      <w:r>
        <w:t>Review replica baseline and drift.</w:t>
      </w:r>
    </w:p>
    <w:p>
      <w:pPr>
        <w:pStyle w:val="ListBullet"/>
        <w:spacing w:after="40"/>
      </w:pPr>
      <w:r>
        <w:t>Confirm recent Deploy Azure runs correspond to intended merged commits.</w:t>
      </w:r>
    </w:p>
    <w:p>
      <w:pPr>
        <w:pStyle w:val="ListBullet"/>
        <w:spacing w:after="40"/>
      </w:pPr>
      <w:r>
        <w:t>Do not change capacity merely because usage increased once; look for sustained signals.</w:t>
      </w:r>
    </w:p>
    <w:p>
      <w:pPr>
        <w:pStyle w:val="Heading1"/>
      </w:pPr>
      <w:r>
        <w:t>4. Incident triage procedure</w:t>
      </w:r>
    </w:p>
    <w:p>
      <w:pPr>
        <w:spacing w:after="50"/>
        <w:ind w:left="288" w:hanging="288"/>
      </w:pPr>
      <w:r>
        <w:rPr>
          <w:b/>
        </w:rPr>
        <w:t xml:space="preserve">1. </w:t>
      </w:r>
      <w:r>
        <w:t>Record incident start time, reporter, affected section/team/user, and the exact action that failed.</w:t>
      </w:r>
    </w:p>
    <w:p>
      <w:pPr>
        <w:spacing w:after="50"/>
        <w:ind w:left="288" w:hanging="288"/>
      </w:pPr>
      <w:r>
        <w:rPr>
          <w:b/>
        </w:rPr>
        <w:t xml:space="preserve">2. </w:t>
      </w:r>
      <w:r>
        <w:t>Run `etis-azure status` and `health` without changing anything.</w:t>
      </w:r>
    </w:p>
    <w:p>
      <w:pPr>
        <w:spacing w:after="50"/>
        <w:ind w:left="288" w:hanging="288"/>
      </w:pPr>
      <w:r>
        <w:rPr>
          <w:b/>
        </w:rPr>
        <w:t xml:space="preserve">3. </w:t>
      </w:r>
      <w:r>
        <w:t>If either is abnormal, run `replicas` and `logs`; capture the current/latest revision and restart/error state.</w:t>
      </w:r>
    </w:p>
    <w:p>
      <w:pPr>
        <w:spacing w:after="50"/>
        <w:ind w:left="288" w:hanging="288"/>
      </w:pPr>
      <w:r>
        <w:rPr>
          <w:b/>
        </w:rPr>
        <w:t xml:space="preserve">4. </w:t>
      </w:r>
      <w:r>
        <w:t>Classify the boundary: Azure runtime/ingress, database/migration, Entra/session, GitHub identity/App, application logic, or cost/monitoring only.</w:t>
      </w:r>
    </w:p>
    <w:p>
      <w:pPr>
        <w:spacing w:after="50"/>
        <w:ind w:left="288" w:hanging="288"/>
      </w:pPr>
      <w:r>
        <w:rPr>
          <w:b/>
        </w:rPr>
        <w:t xml:space="preserve">5. </w:t>
      </w:r>
      <w:r>
        <w:t>Use the smallest runbook below that matches the boundary.</w:t>
      </w:r>
    </w:p>
    <w:p>
      <w:pPr>
        <w:spacing w:after="50"/>
        <w:ind w:left="288" w:hanging="288"/>
      </w:pPr>
      <w:r>
        <w:rPr>
          <w:b/>
        </w:rPr>
        <w:t xml:space="preserve">6. </w:t>
      </w:r>
      <w:r>
        <w:t>After any recovery, run full production acceptance and a human spot-check of the affected user path.</w:t>
      </w:r>
    </w:p>
    <w:tbl>
      <w:tblPr>
        <w:tblW w:type="auto" w:w="0"/>
        <w:tblLook w:firstColumn="1" w:firstRow="1" w:lastColumn="0" w:lastRow="0" w:noHBand="0" w:noVBand="1" w:val="04A0"/>
      </w:tblPr>
      <w:tblGrid>
        <w:gridCol w:w="10166"/>
      </w:tblGrid>
      <w:tr>
        <w:trPr>
          <w:cantSplit/>
          <w:tblHeader/>
          <w:tblHeader/>
        </w:trPr>
        <w:tc>
          <w:tcPr>
            <w:tcW w:type="dxa" w:w="10166"/>
            <w:shd w:fill="EAF1F8"/>
            <w:tcMar>
              <w:top w:w="110" w:type="dxa"/>
              <w:start w:w="140" w:type="dxa"/>
              <w:bottom w:w="110" w:type="dxa"/>
              <w:end w:w="140" w:type="dxa"/>
            </w:tcMar>
          </w:tcPr>
          <w:p>
            <w:pPr>
              <w:keepNext w:val="0"/>
            </w:pPr>
            <w:r>
              <w:rPr>
                <w:b/>
                <w:color w:val="287E78"/>
                <w:sz w:val="18"/>
              </w:rPr>
              <w:t>CAPTURE BEFORE CHANGE</w:t>
              <w:br/>
            </w:r>
            <w:r>
              <w:t>At minimum preserve: current revision, time window, failing URL/action, HTTP status or visible error, `status`/`health` output, relevant log excerpt, and whether the problem affects one user/team or everyone.</w:t>
            </w:r>
          </w:p>
        </w:tc>
      </w:tr>
    </w:tbl>
    <w:p>
      <w:pPr>
        <w:spacing w:after="20"/>
      </w:pPr>
    </w:p>
    <w:p>
      <w:pPr>
        <w:pStyle w:val="Heading1"/>
      </w:pPr>
      <w:r>
        <w:t>5. Runbook: Studio is unavailable</w:t>
      </w:r>
    </w:p>
    <w:tbl>
      <w:tblPr>
        <w:tblW w:type="auto" w:w="0"/>
        <w:tblLook w:firstColumn="1" w:firstRow="1" w:lastColumn="0" w:lastRow="0" w:noHBand="0" w:noVBand="1" w:val="04A0"/>
      </w:tblPr>
      <w:tblGrid>
        <w:gridCol w:w="10166"/>
      </w:tblGrid>
      <w:tr>
        <w:trPr>
          <w:cantSplit/>
          <w:tblHeader/>
          <w:tblHeader/>
        </w:trPr>
        <w:tc>
          <w:tcPr>
            <w:tcW w:type="dxa" w:w="10166"/>
            <w:shd w:fill="F3F5F7"/>
            <w:tcMar>
              <w:top w:w="100" w:type="dxa"/>
              <w:start w:w="120" w:type="dxa"/>
              <w:bottom w:w="100" w:type="dxa"/>
              <w:end w:w="120" w:type="dxa"/>
            </w:tcMar>
          </w:tcPr>
          <w:p>
            <w:pPr>
              <w:pStyle w:val="ETISCode"/>
              <w:keepNext w:val="0"/>
              <w:spacing w:after="0"/>
            </w:pPr>
            <w:r>
              <w:t>./scripts/azure/etis-azure status</w:t>
            </w:r>
            <w:r>
              <w:br/>
            </w:r>
            <w:r>
              <w:t>./scripts/azure/etis-azure health</w:t>
            </w:r>
            <w:r>
              <w:br/>
            </w:r>
            <w:r>
              <w:t>./scripts/azure/etis-azure replicas</w:t>
            </w:r>
            <w:r>
              <w:br/>
            </w:r>
            <w:r>
              <w:t>./scripts/azure/etis-azure logs --tail 100</w:t>
            </w:r>
          </w:p>
        </w:tc>
      </w:tr>
    </w:tbl>
    <w:p>
      <w:pPr>
        <w:spacing w:after="20"/>
      </w:pPr>
    </w:p>
    <w:p>
      <w:pPr>
        <w:keepNext/>
        <w:jc w:val="center"/>
      </w:pPr>
      <w:r>
        <w:drawing>
          <wp:inline xmlns:a="http://schemas.openxmlformats.org/drawingml/2006/main" xmlns:pic="http://schemas.openxmlformats.org/drawingml/2006/picture">
            <wp:extent cx="5943600" cy="1915160"/>
            <wp:docPr id="3" name="Picture 3" descr="Figure 3. `/health` answers whether the process is alive; `/ready` answers whether the service is ready to perform production work." title="Figure 3"/>
            <wp:cNvGraphicFramePr>
              <a:graphicFrameLocks noChangeAspect="1"/>
            </wp:cNvGraphicFramePr>
            <a:graphic>
              <a:graphicData uri="http://schemas.openxmlformats.org/drawingml/2006/picture">
                <pic:pic>
                  <pic:nvPicPr>
                    <pic:cNvPr id="0" name="health_ready.png"/>
                    <pic:cNvPicPr/>
                  </pic:nvPicPr>
                  <pic:blipFill>
                    <a:blip r:embed="rId13"/>
                    <a:stretch>
                      <a:fillRect/>
                    </a:stretch>
                  </pic:blipFill>
                  <pic:spPr>
                    <a:xfrm>
                      <a:off x="0" y="0"/>
                      <a:ext cx="5943600" cy="1915160"/>
                    </a:xfrm>
                    <a:prstGeom prst="rect"/>
                  </pic:spPr>
                </pic:pic>
              </a:graphicData>
            </a:graphic>
          </wp:inline>
        </w:drawing>
      </w:r>
    </w:p>
    <w:p>
      <w:pPr>
        <w:pStyle w:val="ETISCaption"/>
        <w:keepNext w:val="0"/>
        <w:keepLines/>
        <w:jc w:val="center"/>
      </w:pPr>
      <w:r>
        <w:t>Figure 3. `/health` answers whether the process is alive; `/ready` answers whether the service is ready to perform production work.</w:t>
      </w:r>
      <w:r>
        <w:t xml:space="preserve"> Historical reference figure; current text governs.</w:t>
      </w:r>
    </w:p>
    <w:p>
      <w:pPr>
        <w:spacing w:after="50"/>
        <w:ind w:left="288" w:hanging="288"/>
      </w:pPr>
      <w:r>
        <w:rPr>
          <w:b/>
        </w:rPr>
        <w:t xml:space="preserve">1. </w:t>
      </w:r>
      <w:r>
        <w:t>If `status` cannot reach the Container App, verify Azure context and portal state.</w:t>
      </w:r>
    </w:p>
    <w:p>
      <w:pPr>
        <w:spacing w:after="50"/>
        <w:ind w:left="288" w:hanging="288"/>
      </w:pPr>
      <w:r>
        <w:rPr>
          <w:b/>
        </w:rPr>
        <w:t xml:space="preserve">2. </w:t>
      </w:r>
      <w:r>
        <w:t>If `/health` fails, prioritize replica/ingress/startup diagnostics.</w:t>
      </w:r>
    </w:p>
    <w:p>
      <w:pPr>
        <w:spacing w:after="50"/>
        <w:ind w:left="288" w:hanging="288"/>
      </w:pPr>
      <w:r>
        <w:rPr>
          <w:b/>
        </w:rPr>
        <w:t xml:space="preserve">3. </w:t>
      </w:r>
      <w:r>
        <w:t>If `/health` passes but `/ready` fails, move immediately to database/migration/dependency diagnosis.</w:t>
      </w:r>
    </w:p>
    <w:p>
      <w:pPr>
        <w:spacing w:after="50"/>
        <w:ind w:left="288" w:hanging="288"/>
      </w:pPr>
      <w:r>
        <w:rPr>
          <w:b/>
        </w:rPr>
        <w:t xml:space="preserve">4. </w:t>
      </w:r>
      <w:r>
        <w:t>If both pass but the browser fails, run `smoke` to test root/auth/bootstrap behavior.</w:t>
      </w:r>
    </w:p>
    <w:p>
      <w:pPr>
        <w:spacing w:after="50"/>
        <w:ind w:left="288" w:hanging="288"/>
      </w:pPr>
      <w:r>
        <w:rPr>
          <w:b/>
        </w:rPr>
        <w:t xml:space="preserve">5. </w:t>
      </w:r>
      <w:r>
        <w:t>Do not use `scale` to conceal a crash loop.</w:t>
      </w:r>
    </w:p>
    <w:p>
      <w:pPr>
        <w:pStyle w:val="Heading1"/>
      </w:pPr>
      <w:r>
        <w:t>6. Runbook: login/authentication problem</w:t>
      </w:r>
    </w:p>
    <w:p>
      <w:pPr>
        <w:spacing w:after="50"/>
        <w:ind w:left="288" w:hanging="288"/>
      </w:pPr>
      <w:r>
        <w:rPr>
          <w:b/>
        </w:rPr>
        <w:t xml:space="preserve">1. </w:t>
      </w:r>
      <w:r>
        <w:t>Determine whether the issue is all users or one user.</w:t>
      </w:r>
    </w:p>
    <w:p>
      <w:pPr>
        <w:spacing w:after="50"/>
        <w:ind w:left="288" w:hanging="288"/>
      </w:pPr>
      <w:r>
        <w:rPr>
          <w:b/>
        </w:rPr>
        <w:t xml:space="preserve">2. </w:t>
      </w:r>
      <w:r>
        <w:t>Run `smoke`; confirm root login gate and Entra redirect behavior.</w:t>
      </w:r>
    </w:p>
    <w:p>
      <w:pPr>
        <w:spacing w:after="50"/>
        <w:ind w:left="288" w:hanging="288"/>
      </w:pPr>
      <w:r>
        <w:rPr>
          <w:b/>
        </w:rPr>
        <w:t xml:space="preserve">3. </w:t>
      </w:r>
      <w:r>
        <w:t>If platform smoke passes, verify the user is using the intended Loyola identity and is currently authorized in the course/section.</w:t>
      </w:r>
    </w:p>
    <w:p>
      <w:pPr>
        <w:spacing w:after="50"/>
        <w:ind w:left="288" w:hanging="288"/>
      </w:pPr>
      <w:r>
        <w:rPr>
          <w:b/>
        </w:rPr>
        <w:t xml:space="preserve">4. </w:t>
      </w:r>
      <w:r>
        <w:t>For one-user issues, distinguish authentication from roster/course authorization.</w:t>
      </w:r>
    </w:p>
    <w:p>
      <w:pPr>
        <w:spacing w:after="50"/>
        <w:ind w:left="288" w:hanging="288"/>
      </w:pPr>
      <w:r>
        <w:rPr>
          <w:b/>
        </w:rPr>
        <w:t xml:space="preserve">5. </w:t>
      </w:r>
      <w:r>
        <w:t>If callback/session behavior is broken for everyone, review the deployment, web origin, Entra callback alignment, and logs around `/auth/entra`/callback.</w:t>
      </w:r>
    </w:p>
    <w:p>
      <w:pPr>
        <w:spacing w:after="50"/>
        <w:ind w:left="288" w:hanging="288"/>
      </w:pPr>
      <w:r>
        <w:rPr>
          <w:b/>
        </w:rPr>
        <w:t xml:space="preserve">6. </w:t>
      </w:r>
      <w:r>
        <w:t>Do not weaken Loyola MFA or enable development login as an incident workaround.</w:t>
      </w:r>
    </w:p>
    <w:p>
      <w:pPr>
        <w:pStyle w:val="Heading1"/>
      </w:pPr>
      <w:r>
        <w:t>7. Runbook: GitHub repository onboarding/access problem</w:t>
      </w:r>
    </w:p>
    <w:p>
      <w:pPr>
        <w:spacing w:after="50"/>
        <w:ind w:left="288" w:hanging="288"/>
      </w:pPr>
      <w:r>
        <w:rPr>
          <w:b/>
        </w:rPr>
        <w:t xml:space="preserve">1. </w:t>
      </w:r>
      <w:r>
        <w:t>Confirm whether GitHub identity linking is healthy separately from repository App access.</w:t>
      </w:r>
    </w:p>
    <w:p>
      <w:pPr>
        <w:spacing w:after="50"/>
        <w:ind w:left="288" w:hanging="288"/>
      </w:pPr>
      <w:r>
        <w:rPr>
          <w:b/>
        </w:rPr>
        <w:t xml:space="preserve">2. </w:t>
      </w:r>
      <w:r>
        <w:t>On My Team, identify the exact stage: no repo nominated, Step 1 owner/admin authorization, Step 2 exact verification, or previously verified repo.</w:t>
      </w:r>
    </w:p>
    <w:p>
      <w:pPr>
        <w:spacing w:after="50"/>
        <w:ind w:left="288" w:hanging="288"/>
      </w:pPr>
      <w:r>
        <w:rPr>
          <w:b/>
        </w:rPr>
        <w:t xml:space="preserve">3. </w:t>
      </w:r>
      <w:r>
        <w:t>For organization repos, GitHub organization authority may be required; do not mislabel this automatically as instructor approval.</w:t>
      </w:r>
    </w:p>
    <w:p>
      <w:pPr>
        <w:spacing w:after="50"/>
        <w:ind w:left="288" w:hanging="288"/>
      </w:pPr>
      <w:r>
        <w:rPr>
          <w:b/>
        </w:rPr>
        <w:t xml:space="preserve">4. </w:t>
      </w:r>
      <w:r>
        <w:t>Confirm GitHub App installation uses Only select repositories and includes the nominated repo.</w:t>
      </w:r>
    </w:p>
    <w:p>
      <w:pPr>
        <w:spacing w:after="50"/>
        <w:ind w:left="288" w:hanging="288"/>
      </w:pPr>
      <w:r>
        <w:rPr>
          <w:b/>
        </w:rPr>
        <w:t xml:space="preserve">5. </w:t>
      </w:r>
      <w:r>
        <w:t>Return to Studio and perform Step 2 exact verification.</w:t>
      </w:r>
    </w:p>
    <w:p>
      <w:pPr>
        <w:spacing w:after="50"/>
        <w:ind w:left="288" w:hanging="288"/>
      </w:pPr>
      <w:r>
        <w:rPr>
          <w:b/>
        </w:rPr>
        <w:t xml:space="preserve">6. </w:t>
      </w:r>
      <w:r>
        <w:t>If a verified repo must change, use the instructor bounded reset path rather than editing database state.</w:t>
      </w:r>
    </w:p>
    <w:p>
      <w:pPr>
        <w:pStyle w:val="Heading1"/>
      </w:pPr>
      <w:r>
        <w:t>8. Runbook: `/ready` failure or migration mismatch</w:t>
      </w:r>
    </w:p>
    <w:tbl>
      <w:tblPr>
        <w:tblW w:type="auto" w:w="0"/>
        <w:tblLook w:firstColumn="1" w:firstRow="1" w:lastColumn="0" w:lastRow="0" w:noHBand="0" w:noVBand="1" w:val="04A0"/>
      </w:tblPr>
      <w:tblGrid>
        <w:gridCol w:w="10166"/>
      </w:tblGrid>
      <w:tr>
        <w:trPr>
          <w:cantSplit/>
          <w:tblHeader/>
          <w:tblHeader/>
        </w:trPr>
        <w:tc>
          <w:tcPr>
            <w:tcW w:type="dxa" w:w="10166"/>
            <w:shd w:fill="F3F5F7"/>
            <w:tcMar>
              <w:top w:w="100" w:type="dxa"/>
              <w:start w:w="120" w:type="dxa"/>
              <w:bottom w:w="100" w:type="dxa"/>
              <w:end w:w="120" w:type="dxa"/>
            </w:tcMar>
          </w:tcPr>
          <w:p>
            <w:pPr>
              <w:pStyle w:val="ETISCode"/>
              <w:keepNext w:val="0"/>
              <w:spacing w:after="0"/>
            </w:pPr>
            <w:r>
              <w:t>./scripts/azure/etis-azure health</w:t>
            </w:r>
            <w:r>
              <w:br/>
            </w:r>
            <w:r>
              <w:t>./scripts/azure/etis-azure logs --tail 150</w:t>
            </w:r>
          </w:p>
        </w:tc>
      </w:tr>
    </w:tbl>
    <w:p>
      <w:pPr>
        <w:spacing w:after="20"/>
      </w:pPr>
    </w:p>
    <w:p>
      <w:pPr>
        <w:spacing w:after="50"/>
        <w:ind w:left="288" w:hanging="288"/>
      </w:pPr>
      <w:r>
        <w:rPr>
          <w:b/>
        </w:rPr>
        <w:t xml:space="preserve">1. </w:t>
      </w:r>
      <w:r>
        <w:t>Treat `migration_current=False` as release-blocking.</w:t>
      </w:r>
    </w:p>
    <w:p>
      <w:pPr>
        <w:spacing w:after="50"/>
        <w:ind w:left="288" w:hanging="288"/>
      </w:pPr>
      <w:r>
        <w:rPr>
          <w:b/>
        </w:rPr>
        <w:t xml:space="preserve">2. </w:t>
      </w:r>
      <w:r>
        <w:t>Confirm PostgreSQL server availability and network/private connectivity.</w:t>
      </w:r>
    </w:p>
    <w:p>
      <w:pPr>
        <w:spacing w:after="50"/>
        <w:ind w:left="288" w:hanging="288"/>
      </w:pPr>
      <w:r>
        <w:rPr>
          <w:b/>
        </w:rPr>
        <w:t xml:space="preserve">3. </w:t>
      </w:r>
      <w:r>
        <w:t>Review the migration job/deployment workflow for the current revision.</w:t>
      </w:r>
    </w:p>
    <w:p>
      <w:pPr>
        <w:spacing w:after="50"/>
        <w:ind w:left="288" w:hanging="288"/>
      </w:pPr>
      <w:r>
        <w:rPr>
          <w:b/>
        </w:rPr>
        <w:t xml:space="preserve">4. </w:t>
      </w:r>
      <w:r>
        <w:t>Never patch the production schema manually to make readiness green.</w:t>
      </w:r>
    </w:p>
    <w:p>
      <w:pPr>
        <w:spacing w:after="50"/>
        <w:ind w:left="288" w:hanging="288"/>
      </w:pPr>
      <w:r>
        <w:rPr>
          <w:b/>
        </w:rPr>
        <w:t xml:space="preserve">5. </w:t>
      </w:r>
      <w:r>
        <w:t>If the database is unavailable or data integrity is in question, transition to the Backup/Recovery/DR Runbook.</w:t>
      </w:r>
    </w:p>
    <w:p>
      <w:pPr>
        <w:pStyle w:val="Heading1"/>
      </w:pPr>
      <w:r>
        <w:t>9. Runbook: replica restart or capacity problem</w:t>
      </w:r>
    </w:p>
    <w:tbl>
      <w:tblPr>
        <w:tblW w:type="auto" w:w="0"/>
        <w:tblLook w:firstColumn="1" w:firstRow="1" w:lastColumn="0" w:lastRow="0" w:noHBand="0" w:noVBand="1" w:val="04A0"/>
      </w:tblPr>
      <w:tblGrid>
        <w:gridCol w:w="10166"/>
      </w:tblGrid>
      <w:tr>
        <w:trPr>
          <w:cantSplit/>
          <w:tblHeader/>
          <w:tblHeader/>
        </w:trPr>
        <w:tc>
          <w:tcPr>
            <w:tcW w:type="dxa" w:w="10166"/>
            <w:shd w:fill="F3F5F7"/>
            <w:tcMar>
              <w:top w:w="100" w:type="dxa"/>
              <w:start w:w="120" w:type="dxa"/>
              <w:bottom w:w="100" w:type="dxa"/>
              <w:end w:w="120" w:type="dxa"/>
            </w:tcMar>
          </w:tcPr>
          <w:p>
            <w:pPr>
              <w:pStyle w:val="ETISCode"/>
              <w:keepNext w:val="0"/>
              <w:spacing w:after="0"/>
            </w:pPr>
            <w:r>
              <w:t>./scripts/azure/etis-azure replicas</w:t>
            </w:r>
            <w:r>
              <w:br/>
            </w:r>
            <w:r>
              <w:t>./scripts/azure/etis-azure logs --tail 100</w:t>
            </w:r>
            <w:r>
              <w:br/>
            </w:r>
            <w:r>
              <w:t>./scripts/azure/etis-azure config</w:t>
            </w:r>
          </w:p>
        </w:tc>
      </w:tr>
    </w:tbl>
    <w:p>
      <w:pPr>
        <w:spacing w:after="20"/>
      </w:pPr>
    </w:p>
    <w:p>
      <w:pPr>
        <w:spacing w:after="50"/>
        <w:ind w:left="288" w:hanging="288"/>
      </w:pPr>
      <w:r>
        <w:rPr>
          <w:b/>
        </w:rPr>
        <w:t xml:space="preserve">1. </w:t>
      </w:r>
      <w:r>
        <w:t>Check readiness, running state, restart counts, and revision.</w:t>
      </w:r>
    </w:p>
    <w:p>
      <w:pPr>
        <w:spacing w:after="50"/>
        <w:ind w:left="288" w:hanging="288"/>
      </w:pPr>
      <w:r>
        <w:rPr>
          <w:b/>
        </w:rPr>
        <w:t xml:space="preserve">2. </w:t>
      </w:r>
      <w:r>
        <w:t>Correlate restarts with deployment time and application/dependency errors.</w:t>
      </w:r>
    </w:p>
    <w:p>
      <w:pPr>
        <w:spacing w:after="50"/>
        <w:ind w:left="288" w:hanging="288"/>
      </w:pPr>
      <w:r>
        <w:rPr>
          <w:b/>
        </w:rPr>
        <w:t xml:space="preserve">3. </w:t>
      </w:r>
      <w:r>
        <w:t>Confirm min/max remains 1/5 unless an intentional override is documented.</w:t>
      </w:r>
    </w:p>
    <w:p>
      <w:pPr>
        <w:spacing w:after="50"/>
        <w:ind w:left="288" w:hanging="288"/>
      </w:pPr>
      <w:r>
        <w:rPr>
          <w:b/>
        </w:rPr>
        <w:t xml:space="preserve">4. </w:t>
      </w:r>
      <w:r>
        <w:t>Use `scale` only for an intentional temporary capacity decision after the application is healthy.</w:t>
      </w:r>
    </w:p>
    <w:p>
      <w:pPr>
        <w:spacing w:after="50"/>
        <w:ind w:left="288" w:hanging="288"/>
      </w:pPr>
      <w:r>
        <w:rPr>
          <w:b/>
        </w:rPr>
        <w:t xml:space="preserve">5. </w:t>
      </w:r>
      <w:r>
        <w:t>A request to reduce min replicas to 0 should explicitly acknowledge cold-start latency.</w:t>
      </w:r>
    </w:p>
    <w:p>
      <w:pPr>
        <w:pStyle w:val="Heading1"/>
      </w:pPr>
      <w:r>
        <w:t>10. Runbook: high latency</w:t>
      </w:r>
    </w:p>
    <w:p>
      <w:pPr>
        <w:spacing w:after="50"/>
        <w:ind w:left="288" w:hanging="288"/>
      </w:pPr>
      <w:r>
        <w:rPr>
          <w:b/>
        </w:rPr>
        <w:t xml:space="preserve">1. </w:t>
      </w:r>
      <w:r>
        <w:t>Run `health` and note endpoint latency.</w:t>
      </w:r>
    </w:p>
    <w:p>
      <w:pPr>
        <w:spacing w:after="50"/>
        <w:ind w:left="288" w:hanging="288"/>
      </w:pPr>
      <w:r>
        <w:rPr>
          <w:b/>
        </w:rPr>
        <w:t xml:space="preserve">2. </w:t>
      </w:r>
      <w:r>
        <w:t>Check replicas/restarts and whether min replicas is still 1.</w:t>
      </w:r>
    </w:p>
    <w:p>
      <w:pPr>
        <w:spacing w:after="50"/>
        <w:ind w:left="288" w:hanging="288"/>
      </w:pPr>
      <w:r>
        <w:rPr>
          <w:b/>
        </w:rPr>
        <w:t xml:space="preserve">3. </w:t>
      </w:r>
      <w:r>
        <w:t>Inspect logs for slow/erroring requests and dependency timeouts.</w:t>
      </w:r>
    </w:p>
    <w:p>
      <w:pPr>
        <w:spacing w:after="50"/>
        <w:ind w:left="288" w:hanging="288"/>
      </w:pPr>
      <w:r>
        <w:rPr>
          <w:b/>
        </w:rPr>
        <w:t xml:space="preserve">4. </w:t>
      </w:r>
      <w:r>
        <w:t>Review OpenAI latency separately from core application readiness.</w:t>
      </w:r>
    </w:p>
    <w:p>
      <w:pPr>
        <w:spacing w:after="50"/>
        <w:ind w:left="288" w:hanging="288"/>
      </w:pPr>
      <w:r>
        <w:rPr>
          <w:b/>
        </w:rPr>
        <w:t xml:space="preserve">5. </w:t>
      </w:r>
      <w:r>
        <w:t>If latency is isolated to AI review turns, keep deterministic authorization/evidence paths available and communicate advisory degradation rather than declaring the whole Studio down.</w:t>
      </w:r>
    </w:p>
    <w:p>
      <w:pPr>
        <w:pStyle w:val="Heading1"/>
      </w:pPr>
      <w:r>
        <w:t>11. Runbook: OpenAI degradation or outage</w:t>
      </w:r>
    </w:p>
    <w:p>
      <w:pPr>
        <w:pStyle w:val="ListBullet"/>
        <w:spacing w:after="40"/>
      </w:pPr>
      <w:r>
        <w:t>AI reviewers are bounded advisers; deterministic authorization, course/term state, evidence snapshots, and existing records remain authoritative.</w:t>
      </w:r>
    </w:p>
    <w:p>
      <w:pPr>
        <w:pStyle w:val="ListBullet"/>
        <w:spacing w:after="40"/>
      </w:pPr>
      <w:r>
        <w:t>Do not fabricate reviewer results or silently substitute unvalidated outputs.</w:t>
      </w:r>
    </w:p>
    <w:p>
      <w:pPr>
        <w:pStyle w:val="ListBullet"/>
        <w:spacing w:after="40"/>
      </w:pPr>
      <w:r>
        <w:t>If AI calls fail, preserve the review/session state and surface the dependency failure; students can continue repository engineering work.</w:t>
      </w:r>
    </w:p>
    <w:p>
      <w:pPr>
        <w:pStyle w:val="ListBullet"/>
        <w:spacing w:after="40"/>
      </w:pPr>
      <w:r>
        <w:t>Use AI Usage &amp; Cost/telemetry and logs to distinguish latency, model/provider failure, and application errors.</w:t>
      </w:r>
    </w:p>
    <w:p>
      <w:pPr>
        <w:pStyle w:val="ListBullet"/>
        <w:spacing w:after="40"/>
      </w:pPr>
      <w:r>
        <w:t>When service returns, validate a non-destructive review interaction before broad use.</w:t>
      </w:r>
    </w:p>
    <w:p>
      <w:pPr>
        <w:pStyle w:val="Heading1"/>
      </w:pPr>
      <w:r>
        <w:t>12. Runbook: configuration drift or wrong revision</w:t>
      </w:r>
    </w:p>
    <w:tbl>
      <w:tblPr>
        <w:tblW w:type="auto" w:w="0"/>
        <w:tblLook w:firstColumn="1" w:firstRow="1" w:lastColumn="0" w:lastRow="0" w:noHBand="0" w:noVBand="1" w:val="04A0"/>
      </w:tblPr>
      <w:tblGrid>
        <w:gridCol w:w="10166"/>
      </w:tblGrid>
      <w:tr>
        <w:trPr>
          <w:cantSplit/>
          <w:tblHeader/>
          <w:tblHeader/>
        </w:trPr>
        <w:tc>
          <w:tcPr>
            <w:tcW w:type="dxa" w:w="10166"/>
            <w:shd w:fill="F3F5F7"/>
            <w:tcMar>
              <w:top w:w="100" w:type="dxa"/>
              <w:start w:w="120" w:type="dxa"/>
              <w:bottom w:w="100" w:type="dxa"/>
              <w:end w:w="120" w:type="dxa"/>
            </w:tcMar>
          </w:tcPr>
          <w:p>
            <w:pPr>
              <w:pStyle w:val="ETISCode"/>
              <w:keepNext w:val="0"/>
              <w:spacing w:after="0"/>
            </w:pPr>
            <w:r>
              <w:t>./scripts/azure/etis-azure drift</w:t>
            </w:r>
            <w:r>
              <w:br/>
            </w:r>
            <w:r>
              <w:t>./scripts/azure/etis-azure status</w:t>
            </w:r>
            <w:r>
              <w:br/>
            </w:r>
            <w:r>
              <w:t>./scripts/azure/etis-azure revisions</w:t>
            </w:r>
          </w:p>
        </w:tc>
      </w:tr>
    </w:tbl>
    <w:p>
      <w:pPr>
        <w:spacing w:after="20"/>
      </w:pPr>
    </w:p>
    <w:p>
      <w:pPr>
        <w:spacing w:after="50"/>
        <w:ind w:left="288" w:hanging="288"/>
      </w:pPr>
      <w:r>
        <w:rPr>
          <w:b/>
        </w:rPr>
        <w:t xml:space="preserve">1. </w:t>
      </w:r>
      <w:r>
        <w:t>Identify the expected merged commit and successful Deploy Azure run.</w:t>
      </w:r>
    </w:p>
    <w:p>
      <w:pPr>
        <w:spacing w:after="50"/>
        <w:ind w:left="288" w:hanging="288"/>
      </w:pPr>
      <w:r>
        <w:rPr>
          <w:b/>
        </w:rPr>
        <w:t xml:space="preserve">2. </w:t>
      </w:r>
      <w:r>
        <w:t>Compare latest revision/traffic to the expected deployment.</w:t>
      </w:r>
    </w:p>
    <w:p>
      <w:pPr>
        <w:spacing w:after="50"/>
        <w:ind w:left="288" w:hanging="288"/>
      </w:pPr>
      <w:r>
        <w:rPr>
          <w:b/>
        </w:rPr>
        <w:t xml:space="preserve">3. </w:t>
      </w:r>
      <w:r>
        <w:t>For drift, decide whether the source baseline or live runtime is wrong.</w:t>
      </w:r>
    </w:p>
    <w:p>
      <w:pPr>
        <w:spacing w:after="50"/>
        <w:ind w:left="288" w:hanging="288"/>
      </w:pPr>
      <w:r>
        <w:rPr>
          <w:b/>
        </w:rPr>
        <w:t xml:space="preserve">4. </w:t>
      </w:r>
      <w:r>
        <w:t>If a bad deployment is confirmed, use controlled rollback/redeployment per the DR Runbook; do not hand-edit production until it “looks right.”</w:t>
      </w:r>
    </w:p>
    <w:p>
      <w:pPr>
        <w:pStyle w:val="Heading1"/>
      </w:pPr>
      <w:r>
        <w:t>13. Runbook: cost or budget alert</w:t>
      </w:r>
    </w:p>
    <w:p>
      <w:pPr>
        <w:keepNext/>
        <w:jc w:val="center"/>
      </w:pPr>
      <w:r>
        <w:drawing>
          <wp:inline xmlns:a="http://schemas.openxmlformats.org/drawingml/2006/main" xmlns:pic="http://schemas.openxmlformats.org/drawingml/2006/picture">
            <wp:extent cx="5897880" cy="3677536"/>
            <wp:docPr id="4" name="Picture 4" descr="Figure 4. Production budget detail. The budget resets monthly at $100 with actual-cost alerts at 50%, 80%, and 100%." title="Figure 4"/>
            <wp:cNvGraphicFramePr>
              <a:graphicFrameLocks noChangeAspect="1"/>
            </wp:cNvGraphicFramePr>
            <a:graphic>
              <a:graphicData uri="http://schemas.openxmlformats.org/drawingml/2006/picture">
                <pic:pic>
                  <pic:nvPicPr>
                    <pic:cNvPr id="0" name="budget_crop.jpg"/>
                    <pic:cNvPicPr/>
                  </pic:nvPicPr>
                  <pic:blipFill>
                    <a:blip r:embed="rId14"/>
                    <a:stretch>
                      <a:fillRect/>
                    </a:stretch>
                  </pic:blipFill>
                  <pic:spPr>
                    <a:xfrm>
                      <a:off x="0" y="0"/>
                      <a:ext cx="5897880" cy="3677536"/>
                    </a:xfrm>
                    <a:prstGeom prst="rect"/>
                  </pic:spPr>
                </pic:pic>
              </a:graphicData>
            </a:graphic>
          </wp:inline>
        </w:drawing>
      </w:r>
    </w:p>
    <w:p>
      <w:pPr>
        <w:pStyle w:val="ETISCaption"/>
        <w:keepNext w:val="0"/>
        <w:keepLines/>
        <w:jc w:val="center"/>
      </w:pPr>
      <w:r>
        <w:t>Figure 4. Production budget detail. The budget resets monthly at $100 with actual-cost alerts at 50%, 80%, and 100%.</w:t>
      </w:r>
      <w:r>
        <w:t xml:space="preserve"> Historical reference figure; current text governs.</w:t>
      </w:r>
    </w:p>
    <w:tbl>
      <w:tblPr>
        <w:tblW w:type="auto" w:w="0"/>
        <w:tblLook w:firstColumn="1" w:firstRow="1" w:lastColumn="0" w:lastRow="0" w:noHBand="0" w:noVBand="1" w:val="04A0"/>
      </w:tblPr>
      <w:tblGrid>
        <w:gridCol w:w="10166"/>
      </w:tblGrid>
      <w:tr>
        <w:trPr>
          <w:cantSplit/>
          <w:tblHeader/>
          <w:tblHeader/>
        </w:trPr>
        <w:tc>
          <w:tcPr>
            <w:tcW w:type="dxa" w:w="10166"/>
            <w:shd w:fill="F3F5F7"/>
            <w:tcMar>
              <w:top w:w="100" w:type="dxa"/>
              <w:start w:w="120" w:type="dxa"/>
              <w:bottom w:w="100" w:type="dxa"/>
              <w:end w:w="120" w:type="dxa"/>
            </w:tcMar>
          </w:tcPr>
          <w:p>
            <w:pPr>
              <w:pStyle w:val="ETISCode"/>
              <w:keepNext w:val="0"/>
              <w:spacing w:after="0"/>
            </w:pPr>
            <w:r>
              <w:t>./scripts/azure/etis-azure budget</w:t>
            </w:r>
            <w:r>
              <w:br/>
            </w:r>
            <w:r>
              <w:t>./scripts/azure/etis-azure cost</w:t>
            </w:r>
          </w:p>
        </w:tc>
      </w:tr>
    </w:tbl>
    <w:p>
      <w:pPr>
        <w:spacing w:after="20"/>
      </w:pPr>
    </w:p>
    <w:p>
      <w:pPr>
        <w:spacing w:after="50"/>
        <w:ind w:left="288" w:hanging="288"/>
      </w:pPr>
      <w:r>
        <w:rPr>
          <w:b/>
        </w:rPr>
        <w:t xml:space="preserve">1. </w:t>
      </w:r>
      <w:r>
        <w:t>Confirm the alert is actual cost and identify the threshold.</w:t>
      </w:r>
    </w:p>
    <w:p>
      <w:pPr>
        <w:spacing w:after="50"/>
        <w:ind w:left="288" w:hanging="288"/>
      </w:pPr>
      <w:r>
        <w:rPr>
          <w:b/>
        </w:rPr>
        <w:t xml:space="preserve">2. </w:t>
      </w:r>
      <w:r>
        <w:t>Review whether increased spend corresponds to expected usage, deployment churn, database/runtime growth, or an anomaly.</w:t>
      </w:r>
    </w:p>
    <w:p>
      <w:pPr>
        <w:spacing w:after="50"/>
        <w:ind w:left="288" w:hanging="288"/>
      </w:pPr>
      <w:r>
        <w:rPr>
          <w:b/>
        </w:rPr>
        <w:t xml:space="preserve">3. </w:t>
      </w:r>
      <w:r>
        <w:t>Do not automatically stop or scale down production solely because a threshold fired.</w:t>
      </w:r>
    </w:p>
    <w:p>
      <w:pPr>
        <w:spacing w:after="50"/>
        <w:ind w:left="288" w:hanging="288"/>
      </w:pPr>
      <w:r>
        <w:rPr>
          <w:b/>
        </w:rPr>
        <w:t xml:space="preserve">4. </w:t>
      </w:r>
      <w:r>
        <w:t>If `cost` is throttled by Azure, do not repeatedly retry; budget controls remain the durable signal.</w:t>
      </w:r>
    </w:p>
    <w:p>
      <w:pPr>
        <w:spacing w:after="50"/>
        <w:ind w:left="288" w:hanging="288"/>
      </w:pPr>
      <w:r>
        <w:rPr>
          <w:b/>
        </w:rPr>
        <w:t xml:space="preserve">5. </w:t>
      </w:r>
      <w:r>
        <w:t>Document any approved baseline/budget change.</w:t>
      </w:r>
    </w:p>
    <w:p>
      <w:pPr>
        <w:pStyle w:val="Heading2"/>
      </w:pPr>
      <w:r>
        <w:t>Review and evidence regression triage</w:t>
      </w:r>
    </w:p>
    <w:p>
      <w:r>
        <w:t>The Review Room is the conversation home. Engineering Evidence is the saved source notebook. Same-snapshot and newer-saved-snapshot notices explain their relationship; browsing newer saved evidence never changes an active review’s frozen baseline.</w:t>
      </w:r>
    </w:p>
    <w:p>
      <w:r>
        <w:t>Only authoritative corrected or resolved findings are closed. Confirmed, evidence disputed, accepted risk and deferred findings remain open. Inspecting, searching, recommending and completing a review do not close a finding; work after the snapshot cannot close it on that earlier snapshot.</w:t>
      </w:r>
    </w:p>
    <w:p>
      <w:r>
        <w:t>Button-triggered instructions are recorded as review actions, not as words the student wrote. Unsent drafts are preserved and remain private. Optional review context and other concerns stay secondary to the current concern and conversation.</w:t>
      </w:r>
    </w:p>
    <w:p>
      <w:r>
        <w:t>For a wrong finding, inspect frozen provenance, evidence shape and explicit lifecycle state before attempting recovery. For a stale review, compare its snapshot to saved Evidence; do not rewrite historical evidence to match a newer commit. For a button-authorship or draft failure, preserve persisted action metadata and report the observed UI defect without logging draft content.</w:t>
      </w:r>
    </w:p>
    <w:p>
      <w:r>
        <w:t>In Help, artifact, challenge and exit dialogs, Tab and Shift+Tab stay within the dialog, Escape dismisses through the existing close action, and focus returns to a usable opener. Escape does not finish a review. Closing a pending challenge does not cancel its submitted request.</w:t>
      </w:r>
    </w:p>
    <w:p>
      <w:pPr>
        <w:pStyle w:val="Heading1"/>
      </w:pPr>
      <w:r>
        <w:t>14. Return-to-service</w:t>
      </w:r>
    </w:p>
    <w:p>
      <w:pPr>
        <w:keepNext/>
        <w:jc w:val="center"/>
      </w:pPr>
      <w:r>
        <w:drawing>
          <wp:inline xmlns:a="http://schemas.openxmlformats.org/drawingml/2006/main" xmlns:pic="http://schemas.openxmlformats.org/drawingml/2006/picture">
            <wp:extent cx="5943600" cy="1717040"/>
            <wp:docPr id="5" name="Picture 5" descr="Figure 5. Technical recovery is not the end of an incident. Return to service requires full acceptance plus a human spot-check of the affected path." title="Figure 5"/>
            <wp:cNvGraphicFramePr>
              <a:graphicFrameLocks noChangeAspect="1"/>
            </wp:cNvGraphicFramePr>
            <a:graphic>
              <a:graphicData uri="http://schemas.openxmlformats.org/drawingml/2006/picture">
                <pic:pic>
                  <pic:nvPicPr>
                    <pic:cNvPr id="0" name="return_service.png"/>
                    <pic:cNvPicPr/>
                  </pic:nvPicPr>
                  <pic:blipFill>
                    <a:blip r:embed="rId15"/>
                    <a:stretch>
                      <a:fillRect/>
                    </a:stretch>
                  </pic:blipFill>
                  <pic:spPr>
                    <a:xfrm>
                      <a:off x="0" y="0"/>
                      <a:ext cx="5943600" cy="1717040"/>
                    </a:xfrm>
                    <a:prstGeom prst="rect"/>
                  </pic:spPr>
                </pic:pic>
              </a:graphicData>
            </a:graphic>
          </wp:inline>
        </w:drawing>
      </w:r>
    </w:p>
    <w:p>
      <w:pPr>
        <w:pStyle w:val="ETISCaption"/>
        <w:keepNext w:val="0"/>
        <w:keepLines/>
        <w:jc w:val="center"/>
      </w:pPr>
      <w:r>
        <w:t>Figure 5. Technical recovery is not the end of an incident. Return to service requires full acceptance plus a human spot-check of the affected path.</w:t>
      </w:r>
      <w:r>
        <w:t xml:space="preserve"> Historical reference figure; current text governs.</w:t>
      </w:r>
    </w:p>
    <w:p>
      <w:pPr>
        <w:spacing w:after="50"/>
        <w:ind w:left="288" w:hanging="288"/>
      </w:pPr>
      <w:r>
        <w:rPr>
          <w:b/>
        </w:rPr>
        <w:t xml:space="preserve">1. </w:t>
      </w:r>
      <w:r>
        <w:t>Run `etis-azure acceptance`.</w:t>
      </w:r>
    </w:p>
    <w:p>
      <w:pPr>
        <w:spacing w:after="50"/>
        <w:ind w:left="288" w:hanging="288"/>
      </w:pPr>
      <w:r>
        <w:rPr>
          <w:b/>
        </w:rPr>
        <w:t xml:space="preserve">2. </w:t>
      </w:r>
      <w:r>
        <w:t>Confirm every required production check passes.</w:t>
      </w:r>
    </w:p>
    <w:p>
      <w:pPr>
        <w:spacing w:after="50"/>
        <w:ind w:left="288" w:hanging="288"/>
      </w:pPr>
      <w:r>
        <w:rPr>
          <w:b/>
        </w:rPr>
        <w:t xml:space="preserve">3. </w:t>
      </w:r>
      <w:r>
        <w:t>Spot-check the user path that failed (Loyola sign-in, GitHub verification, review start, etc.).</w:t>
      </w:r>
    </w:p>
    <w:p>
      <w:pPr>
        <w:spacing w:after="50"/>
        <w:ind w:left="288" w:hanging="288"/>
      </w:pPr>
      <w:r>
        <w:rPr>
          <w:b/>
        </w:rPr>
        <w:t xml:space="preserve">4. </w:t>
      </w:r>
      <w:r>
        <w:t>Confirm no temporary secret, permission expansion, or unsafe runtime override remains.</w:t>
      </w:r>
    </w:p>
    <w:p>
      <w:pPr>
        <w:spacing w:after="50"/>
        <w:ind w:left="288" w:hanging="288"/>
      </w:pPr>
      <w:r>
        <w:rPr>
          <w:b/>
        </w:rPr>
        <w:t xml:space="preserve">5. </w:t>
      </w:r>
      <w:r>
        <w:t>Record the final revision, recovery action, validation evidence, and incident end time.</w:t>
      </w:r>
    </w:p>
    <w:p>
      <w:pPr>
        <w:pStyle w:val="Heading2"/>
      </w:pPr>
      <w:r>
        <w:t>Release-specific return-to-service checks</w:t>
      </w:r>
    </w:p>
    <w:p>
      <w:r>
        <w:t>The v0.18.0 source version is defined in apps/api/app/version.py. FastAPI/OpenAPI and /health use that value. Source version, merged Git SHA, immutable image/revision, deployment success and production acceptance are separate evidence. The August GO records and v0.17 analytical history keep their original dates and versions.</w:t>
      </w:r>
    </w:p>
    <w:p>
      <w:r>
        <w:t>Accepted production uses shadow/shadow evaluation with legacy student-visible authority. Shadow validator/planner/selector/realizer evaluation remains internal and does not replace student-visible authority. This release introduces no PR5 authority transfer, database migration or course-model change.</w:t>
      </w:r>
    </w:p>
    <w:p>
      <w:r>
        <w:t>Check exact merged SHA/image/revision and live version/modes in addition to operator acceptance. Recheck the affected student and authorized staff path; persisted action labels must retain correct authorship, private drafts stay unavailable to staff, and completed history remains read-only.</w:t>
      </w:r>
    </w:p>
    <w:p>
      <w:pPr>
        <w:pStyle w:val="Heading1"/>
      </w:pPr>
      <w:r>
        <w:t>15. Post-incident review</w:t>
      </w:r>
    </w:p>
    <w:tbl>
      <w:tblPr>
        <w:tblStyle w:val="TableGrid"/>
        <w:tblW w:type="auto" w:w="0"/>
        <w:jc w:val="center"/>
        <w:tblLook w:firstColumn="1" w:firstRow="1" w:lastColumn="0" w:lastRow="0" w:noHBand="0" w:noVBand="1" w:val="04A0"/>
      </w:tblPr>
      <w:tblGrid>
        <w:gridCol w:w="5083"/>
        <w:gridCol w:w="5083"/>
      </w:tblGrid>
      <w:tr>
        <w:trPr>
          <w:tblHeader w:val="true"/>
          <w:cantSplit/>
          <w:tblHeader/>
        </w:trPr>
        <w:tc>
          <w:tcPr>
            <w:tcW w:type="dxa" w:w="2880"/>
            <w:shd w:fill="122536"/>
            <w:tcMar>
              <w:top w:w="80" w:type="dxa"/>
              <w:start w:w="95" w:type="dxa"/>
              <w:bottom w:w="80" w:type="dxa"/>
              <w:end w:w="95" w:type="dxa"/>
            </w:tcMar>
          </w:tcPr>
          <w:p>
            <w:pPr>
              <w:keepNext w:val="0"/>
            </w:pPr>
            <w:r>
              <w:rPr>
                <w:b/>
                <w:color w:val="FFFFFF"/>
                <w:sz w:val="17"/>
              </w:rPr>
              <w:t>Question</w:t>
            </w:r>
          </w:p>
        </w:tc>
        <w:tc>
          <w:tcPr>
            <w:tcW w:type="dxa" w:w="6768"/>
            <w:shd w:fill="122536"/>
            <w:tcMar>
              <w:top w:w="80" w:type="dxa"/>
              <w:start w:w="95" w:type="dxa"/>
              <w:bottom w:w="80" w:type="dxa"/>
              <w:end w:w="95" w:type="dxa"/>
            </w:tcMar>
          </w:tcPr>
          <w:p>
            <w:pPr>
              <w:keepNext w:val="0"/>
            </w:pPr>
            <w:r>
              <w:rPr>
                <w:b/>
                <w:color w:val="FFFFFF"/>
                <w:sz w:val="17"/>
              </w:rPr>
              <w:t>Record</w:t>
            </w:r>
          </w:p>
        </w:tc>
      </w:tr>
      <w:tr>
        <w:trPr>
          <w:cantSplit/>
        </w:trPr>
        <w:tc>
          <w:tcPr>
            <w:tcW w:type="dxa" w:w="2880"/>
            <w:tcMar>
              <w:top w:w="80" w:type="dxa"/>
              <w:start w:w="95" w:type="dxa"/>
              <w:bottom w:w="80" w:type="dxa"/>
              <w:end w:w="95" w:type="dxa"/>
            </w:tcMar>
          </w:tcPr>
          <w:p>
            <w:pPr>
              <w:keepNext w:val="0"/>
            </w:pPr>
            <w:r>
              <w:t>What happened?</w:t>
            </w:r>
          </w:p>
        </w:tc>
        <w:tc>
          <w:tcPr>
            <w:tcW w:type="dxa" w:w="6768"/>
            <w:tcMar>
              <w:top w:w="80" w:type="dxa"/>
              <w:start w:w="95" w:type="dxa"/>
              <w:bottom w:w="80" w:type="dxa"/>
              <w:end w:w="95" w:type="dxa"/>
            </w:tcMar>
          </w:tcPr>
          <w:p>
            <w:pPr>
              <w:keepNext w:val="0"/>
            </w:pPr>
            <w:r>
              <w:t>User-visible symptom and technical failure boundary.</w:t>
            </w:r>
          </w:p>
        </w:tc>
      </w:tr>
      <w:tr>
        <w:trPr>
          <w:cantSplit/>
        </w:trPr>
        <w:tc>
          <w:tcPr>
            <w:tcW w:type="dxa" w:w="2880"/>
            <w:tcMar>
              <w:top w:w="80" w:type="dxa"/>
              <w:start w:w="95" w:type="dxa"/>
              <w:bottom w:w="80" w:type="dxa"/>
              <w:end w:w="95" w:type="dxa"/>
            </w:tcMar>
          </w:tcPr>
          <w:p>
            <w:pPr>
              <w:keepNext w:val="0"/>
            </w:pPr>
            <w:r>
              <w:t>Why did it happen?</w:t>
            </w:r>
          </w:p>
        </w:tc>
        <w:tc>
          <w:tcPr>
            <w:tcW w:type="dxa" w:w="6768"/>
            <w:tcMar>
              <w:top w:w="80" w:type="dxa"/>
              <w:start w:w="95" w:type="dxa"/>
              <w:bottom w:w="80" w:type="dxa"/>
              <w:end w:w="95" w:type="dxa"/>
            </w:tcMar>
          </w:tcPr>
          <w:p>
            <w:pPr>
              <w:keepNext w:val="0"/>
            </w:pPr>
            <w:r>
              <w:t>Trigger/root cause, not merely the first error observed.</w:t>
            </w:r>
          </w:p>
        </w:tc>
      </w:tr>
      <w:tr>
        <w:trPr>
          <w:cantSplit/>
        </w:trPr>
        <w:tc>
          <w:tcPr>
            <w:tcW w:type="dxa" w:w="2880"/>
            <w:tcMar>
              <w:top w:w="80" w:type="dxa"/>
              <w:start w:w="95" w:type="dxa"/>
              <w:bottom w:w="80" w:type="dxa"/>
              <w:end w:w="95" w:type="dxa"/>
            </w:tcMar>
          </w:tcPr>
          <w:p>
            <w:pPr>
              <w:keepNext w:val="0"/>
            </w:pPr>
            <w:r>
              <w:t>What limited impact?</w:t>
            </w:r>
          </w:p>
        </w:tc>
        <w:tc>
          <w:tcPr>
            <w:tcW w:type="dxa" w:w="6768"/>
            <w:tcMar>
              <w:top w:w="80" w:type="dxa"/>
              <w:start w:w="95" w:type="dxa"/>
              <w:bottom w:w="80" w:type="dxa"/>
              <w:end w:w="95" w:type="dxa"/>
            </w:tcMar>
          </w:tcPr>
          <w:p>
            <w:pPr>
              <w:keepNext w:val="0"/>
            </w:pPr>
            <w:r>
              <w:t>Fail-closed behavior, alerts, replica baseline, rollback, etc.</w:t>
            </w:r>
          </w:p>
        </w:tc>
      </w:tr>
      <w:tr>
        <w:trPr>
          <w:cantSplit/>
        </w:trPr>
        <w:tc>
          <w:tcPr>
            <w:tcW w:type="dxa" w:w="2880"/>
            <w:tcMar>
              <w:top w:w="80" w:type="dxa"/>
              <w:start w:w="95" w:type="dxa"/>
              <w:bottom w:w="80" w:type="dxa"/>
              <w:end w:w="95" w:type="dxa"/>
            </w:tcMar>
          </w:tcPr>
          <w:p>
            <w:pPr>
              <w:keepNext w:val="0"/>
            </w:pPr>
            <w:r>
              <w:t>What changed?</w:t>
            </w:r>
          </w:p>
        </w:tc>
        <w:tc>
          <w:tcPr>
            <w:tcW w:type="dxa" w:w="6768"/>
            <w:tcMar>
              <w:top w:w="80" w:type="dxa"/>
              <w:start w:w="95" w:type="dxa"/>
              <w:bottom w:w="80" w:type="dxa"/>
              <w:end w:w="95" w:type="dxa"/>
            </w:tcMar>
          </w:tcPr>
          <w:p>
            <w:pPr>
              <w:keepNext w:val="0"/>
            </w:pPr>
            <w:r>
              <w:t>Commit, configuration, secret rotation, recovery action.</w:t>
            </w:r>
          </w:p>
        </w:tc>
      </w:tr>
      <w:tr>
        <w:trPr>
          <w:cantSplit/>
        </w:trPr>
        <w:tc>
          <w:tcPr>
            <w:tcW w:type="dxa" w:w="2880"/>
            <w:tcMar>
              <w:top w:w="80" w:type="dxa"/>
              <w:start w:w="95" w:type="dxa"/>
              <w:bottom w:w="80" w:type="dxa"/>
              <w:end w:w="95" w:type="dxa"/>
            </w:tcMar>
          </w:tcPr>
          <w:p>
            <w:pPr>
              <w:keepNext w:val="0"/>
            </w:pPr>
            <w:r>
              <w:t>How was service validated?</w:t>
            </w:r>
          </w:p>
        </w:tc>
        <w:tc>
          <w:tcPr>
            <w:tcW w:type="dxa" w:w="6768"/>
            <w:tcMar>
              <w:top w:w="80" w:type="dxa"/>
              <w:start w:w="95" w:type="dxa"/>
              <w:bottom w:w="80" w:type="dxa"/>
              <w:end w:w="95" w:type="dxa"/>
            </w:tcMar>
          </w:tcPr>
          <w:p>
            <w:pPr>
              <w:keepNext w:val="0"/>
            </w:pPr>
            <w:r>
              <w:t>Acceptance output plus human path validation.</w:t>
            </w:r>
          </w:p>
        </w:tc>
      </w:tr>
      <w:tr>
        <w:trPr>
          <w:cantSplit/>
        </w:trPr>
        <w:tc>
          <w:tcPr>
            <w:tcW w:type="dxa" w:w="2880"/>
            <w:tcMar>
              <w:top w:w="80" w:type="dxa"/>
              <w:start w:w="95" w:type="dxa"/>
              <w:bottom w:w="80" w:type="dxa"/>
              <w:end w:w="95" w:type="dxa"/>
            </w:tcMar>
          </w:tcPr>
          <w:p>
            <w:pPr>
              <w:keepNext w:val="0"/>
            </w:pPr>
            <w:r>
              <w:t>What follow-up is justified?</w:t>
            </w:r>
          </w:p>
        </w:tc>
        <w:tc>
          <w:tcPr>
            <w:tcW w:type="dxa" w:w="6768"/>
            <w:tcMar>
              <w:top w:w="80" w:type="dxa"/>
              <w:start w:w="95" w:type="dxa"/>
              <w:bottom w:w="80" w:type="dxa"/>
              <w:end w:w="95" w:type="dxa"/>
            </w:tcMar>
          </w:tcPr>
          <w:p>
            <w:pPr>
              <w:keepNext w:val="0"/>
            </w:pPr>
            <w:r>
              <w:t>Specific preventive change, test, alert, documentation, or no action if healthy.</w:t>
            </w:r>
          </w:p>
        </w:tc>
      </w:tr>
    </w:tbl>
    <w:p>
      <w:pPr>
        <w:spacing w:after="20"/>
      </w:pPr>
    </w:p>
    <w:p>
      <w:pPr>
        <w:pStyle w:val="Heading1"/>
      </w:pPr>
      <w:r>
        <w:t>Appendix A. Incident command sequence</w:t>
      </w:r>
    </w:p>
    <w:tbl>
      <w:tblPr>
        <w:tblW w:type="auto" w:w="0"/>
        <w:tblLook w:firstColumn="1" w:firstRow="1" w:lastColumn="0" w:lastRow="0" w:noHBand="0" w:noVBand="1" w:val="04A0"/>
      </w:tblPr>
      <w:tblGrid>
        <w:gridCol w:w="10166"/>
      </w:tblGrid>
      <w:tr>
        <w:trPr>
          <w:cantSplit/>
          <w:tblHeader/>
          <w:tblHeader/>
        </w:trPr>
        <w:tc>
          <w:tcPr>
            <w:tcW w:type="dxa" w:w="10166"/>
            <w:shd w:fill="F3F5F7"/>
            <w:tcMar>
              <w:top w:w="100" w:type="dxa"/>
              <w:start w:w="120" w:type="dxa"/>
              <w:bottom w:w="100" w:type="dxa"/>
              <w:end w:w="120" w:type="dxa"/>
            </w:tcMar>
          </w:tcPr>
          <w:p>
            <w:pPr>
              <w:pStyle w:val="ETISCode"/>
              <w:keepNext w:val="0"/>
              <w:spacing w:after="0"/>
            </w:pPr>
            <w:r>
              <w:t>./scripts/azure/etis-azure status</w:t>
            </w:r>
            <w:r>
              <w:br/>
            </w:r>
            <w:r>
              <w:t>./scripts/azure/etis-azure health</w:t>
            </w:r>
            <w:r>
              <w:br/>
            </w:r>
            <w:r>
              <w:t>./scripts/azure/etis-azure replicas</w:t>
            </w:r>
            <w:r>
              <w:br/>
            </w:r>
            <w:r>
              <w:t>./scripts/azure/etis-azure logs --tail 100</w:t>
            </w:r>
            <w:r>
              <w:br/>
            </w:r>
            <w:r>
              <w:t>./scripts/azure/etis-azure drift</w:t>
            </w:r>
            <w:r>
              <w:br/>
            </w:r>
            <w:r>
              <w:t># after recovery</w:t>
            </w:r>
            <w:r>
              <w:br/>
            </w:r>
            <w:r>
              <w:t>./scripts/azure/etis-azure acceptance</w:t>
            </w:r>
          </w:p>
        </w:tc>
      </w:tr>
    </w:tbl>
    <w:p>
      <w:pPr>
        <w:spacing w:after="20"/>
      </w:pPr>
    </w:p>
    <w:p>
      <w:pPr>
        <w:pStyle w:val="Heading1"/>
      </w:pPr>
      <w:r>
        <w:t>Appendix B. Incident record template</w:t>
      </w:r>
    </w:p>
    <w:tbl>
      <w:tblPr>
        <w:tblStyle w:val="TableGrid"/>
        <w:tblW w:type="auto" w:w="0"/>
        <w:jc w:val="center"/>
        <w:tblLook w:firstColumn="1" w:firstRow="1" w:lastColumn="0" w:lastRow="0" w:noHBand="0" w:noVBand="1" w:val="04A0"/>
      </w:tblPr>
      <w:tblGrid>
        <w:gridCol w:w="5083"/>
        <w:gridCol w:w="5083"/>
      </w:tblGrid>
      <w:tr>
        <w:trPr>
          <w:tblHeader w:val="true"/>
          <w:cantSplit/>
          <w:tblHeader/>
        </w:trPr>
        <w:tc>
          <w:tcPr>
            <w:tcW w:type="dxa" w:w="3024"/>
            <w:shd w:fill="122536"/>
            <w:tcMar>
              <w:top w:w="80" w:type="dxa"/>
              <w:start w:w="95" w:type="dxa"/>
              <w:bottom w:w="80" w:type="dxa"/>
              <w:end w:w="95" w:type="dxa"/>
            </w:tcMar>
          </w:tcPr>
          <w:p>
            <w:pPr>
              <w:keepNext w:val="0"/>
            </w:pPr>
            <w:r>
              <w:rPr>
                <w:b/>
                <w:color w:val="FFFFFF"/>
                <w:sz w:val="17"/>
              </w:rPr>
              <w:t>Field</w:t>
            </w:r>
          </w:p>
        </w:tc>
        <w:tc>
          <w:tcPr>
            <w:tcW w:type="dxa" w:w="6624"/>
            <w:shd w:fill="122536"/>
            <w:tcMar>
              <w:top w:w="80" w:type="dxa"/>
              <w:start w:w="95" w:type="dxa"/>
              <w:bottom w:w="80" w:type="dxa"/>
              <w:end w:w="95" w:type="dxa"/>
            </w:tcMar>
          </w:tcPr>
          <w:p>
            <w:pPr>
              <w:keepNext w:val="0"/>
            </w:pPr>
            <w:r>
              <w:rPr>
                <w:b/>
                <w:color w:val="FFFFFF"/>
                <w:sz w:val="17"/>
              </w:rPr>
              <w:t>Value to record</w:t>
            </w:r>
          </w:p>
        </w:tc>
      </w:tr>
      <w:tr>
        <w:trPr>
          <w:cantSplit/>
        </w:trPr>
        <w:tc>
          <w:tcPr>
            <w:tcW w:type="dxa" w:w="3024"/>
            <w:tcMar>
              <w:top w:w="80" w:type="dxa"/>
              <w:start w:w="95" w:type="dxa"/>
              <w:bottom w:w="80" w:type="dxa"/>
              <w:end w:w="95" w:type="dxa"/>
            </w:tcMar>
          </w:tcPr>
          <w:p>
            <w:pPr>
              <w:keepNext w:val="0"/>
            </w:pPr>
            <w:r>
              <w:t>Start/end time</w:t>
            </w:r>
          </w:p>
        </w:tc>
        <w:tc>
          <w:tcPr>
            <w:tcW w:type="dxa" w:w="6624"/>
            <w:tcMar>
              <w:top w:w="80" w:type="dxa"/>
              <w:start w:w="95" w:type="dxa"/>
              <w:bottom w:w="80" w:type="dxa"/>
              <w:end w:w="95" w:type="dxa"/>
            </w:tcMar>
          </w:tcPr>
          <w:p>
            <w:pPr>
              <w:keepNext w:val="0"/>
            </w:pPr>
            <w:r/>
          </w:p>
        </w:tc>
      </w:tr>
      <w:tr>
        <w:trPr>
          <w:cantSplit/>
        </w:trPr>
        <w:tc>
          <w:tcPr>
            <w:tcW w:type="dxa" w:w="3024"/>
            <w:tcMar>
              <w:top w:w="80" w:type="dxa"/>
              <w:start w:w="95" w:type="dxa"/>
              <w:bottom w:w="80" w:type="dxa"/>
              <w:end w:w="95" w:type="dxa"/>
            </w:tcMar>
          </w:tcPr>
          <w:p>
            <w:pPr>
              <w:keepNext w:val="0"/>
            </w:pPr>
            <w:r>
              <w:t>Reporter / affected users</w:t>
            </w:r>
          </w:p>
        </w:tc>
        <w:tc>
          <w:tcPr>
            <w:tcW w:type="dxa" w:w="6624"/>
            <w:tcMar>
              <w:top w:w="80" w:type="dxa"/>
              <w:start w:w="95" w:type="dxa"/>
              <w:bottom w:w="80" w:type="dxa"/>
              <w:end w:w="95" w:type="dxa"/>
            </w:tcMar>
          </w:tcPr>
          <w:p>
            <w:pPr>
              <w:keepNext w:val="0"/>
            </w:pPr>
            <w:r/>
          </w:p>
        </w:tc>
      </w:tr>
      <w:tr>
        <w:trPr>
          <w:cantSplit/>
        </w:trPr>
        <w:tc>
          <w:tcPr>
            <w:tcW w:type="dxa" w:w="3024"/>
            <w:tcMar>
              <w:top w:w="80" w:type="dxa"/>
              <w:start w:w="95" w:type="dxa"/>
              <w:bottom w:w="80" w:type="dxa"/>
              <w:end w:w="95" w:type="dxa"/>
            </w:tcMar>
          </w:tcPr>
          <w:p>
            <w:pPr>
              <w:keepNext w:val="0"/>
            </w:pPr>
            <w:r>
              <w:t>Affected section/team</w:t>
            </w:r>
          </w:p>
        </w:tc>
        <w:tc>
          <w:tcPr>
            <w:tcW w:type="dxa" w:w="6624"/>
            <w:tcMar>
              <w:top w:w="80" w:type="dxa"/>
              <w:start w:w="95" w:type="dxa"/>
              <w:bottom w:w="80" w:type="dxa"/>
              <w:end w:w="95" w:type="dxa"/>
            </w:tcMar>
          </w:tcPr>
          <w:p>
            <w:pPr>
              <w:keepNext w:val="0"/>
            </w:pPr>
            <w:r/>
          </w:p>
        </w:tc>
      </w:tr>
      <w:tr>
        <w:trPr>
          <w:cantSplit/>
        </w:trPr>
        <w:tc>
          <w:tcPr>
            <w:tcW w:type="dxa" w:w="3024"/>
            <w:tcMar>
              <w:top w:w="80" w:type="dxa"/>
              <w:start w:w="95" w:type="dxa"/>
              <w:bottom w:w="80" w:type="dxa"/>
              <w:end w:w="95" w:type="dxa"/>
            </w:tcMar>
          </w:tcPr>
          <w:p>
            <w:pPr>
              <w:keepNext w:val="0"/>
            </w:pPr>
            <w:r>
              <w:t>Symptom/action</w:t>
            </w:r>
          </w:p>
        </w:tc>
        <w:tc>
          <w:tcPr>
            <w:tcW w:type="dxa" w:w="6624"/>
            <w:tcMar>
              <w:top w:w="80" w:type="dxa"/>
              <w:start w:w="95" w:type="dxa"/>
              <w:bottom w:w="80" w:type="dxa"/>
              <w:end w:w="95" w:type="dxa"/>
            </w:tcMar>
          </w:tcPr>
          <w:p>
            <w:pPr>
              <w:keepNext w:val="0"/>
            </w:pPr>
            <w:r/>
          </w:p>
        </w:tc>
      </w:tr>
      <w:tr>
        <w:trPr>
          <w:cantSplit/>
        </w:trPr>
        <w:tc>
          <w:tcPr>
            <w:tcW w:type="dxa" w:w="3024"/>
            <w:tcMar>
              <w:top w:w="80" w:type="dxa"/>
              <w:start w:w="95" w:type="dxa"/>
              <w:bottom w:w="80" w:type="dxa"/>
              <w:end w:w="95" w:type="dxa"/>
            </w:tcMar>
          </w:tcPr>
          <w:p>
            <w:pPr>
              <w:keepNext w:val="0"/>
            </w:pPr>
            <w:r>
              <w:t>Current revision</w:t>
            </w:r>
          </w:p>
        </w:tc>
        <w:tc>
          <w:tcPr>
            <w:tcW w:type="dxa" w:w="6624"/>
            <w:tcMar>
              <w:top w:w="80" w:type="dxa"/>
              <w:start w:w="95" w:type="dxa"/>
              <w:bottom w:w="80" w:type="dxa"/>
              <w:end w:w="95" w:type="dxa"/>
            </w:tcMar>
          </w:tcPr>
          <w:p>
            <w:pPr>
              <w:keepNext w:val="0"/>
            </w:pPr>
            <w:r/>
          </w:p>
        </w:tc>
      </w:tr>
      <w:tr>
        <w:trPr>
          <w:cantSplit/>
        </w:trPr>
        <w:tc>
          <w:tcPr>
            <w:tcW w:type="dxa" w:w="3024"/>
            <w:tcMar>
              <w:top w:w="80" w:type="dxa"/>
              <w:start w:w="95" w:type="dxa"/>
              <w:bottom w:w="80" w:type="dxa"/>
              <w:end w:w="95" w:type="dxa"/>
            </w:tcMar>
          </w:tcPr>
          <w:p>
            <w:pPr>
              <w:keepNext w:val="0"/>
            </w:pPr>
            <w:r>
              <w:t>Status/health results</w:t>
            </w:r>
          </w:p>
        </w:tc>
        <w:tc>
          <w:tcPr>
            <w:tcW w:type="dxa" w:w="6624"/>
            <w:tcMar>
              <w:top w:w="80" w:type="dxa"/>
              <w:start w:w="95" w:type="dxa"/>
              <w:bottom w:w="80" w:type="dxa"/>
              <w:end w:w="95" w:type="dxa"/>
            </w:tcMar>
          </w:tcPr>
          <w:p>
            <w:pPr>
              <w:keepNext w:val="0"/>
            </w:pPr>
            <w:r/>
          </w:p>
        </w:tc>
      </w:tr>
      <w:tr>
        <w:trPr>
          <w:cantSplit/>
        </w:trPr>
        <w:tc>
          <w:tcPr>
            <w:tcW w:type="dxa" w:w="3024"/>
            <w:tcMar>
              <w:top w:w="80" w:type="dxa"/>
              <w:start w:w="95" w:type="dxa"/>
              <w:bottom w:w="80" w:type="dxa"/>
              <w:end w:w="95" w:type="dxa"/>
            </w:tcMar>
          </w:tcPr>
          <w:p>
            <w:pPr>
              <w:keepNext w:val="0"/>
            </w:pPr>
            <w:r>
              <w:t>Relevant log window</w:t>
            </w:r>
          </w:p>
        </w:tc>
        <w:tc>
          <w:tcPr>
            <w:tcW w:type="dxa" w:w="6624"/>
            <w:tcMar>
              <w:top w:w="80" w:type="dxa"/>
              <w:start w:w="95" w:type="dxa"/>
              <w:bottom w:w="80" w:type="dxa"/>
              <w:end w:w="95" w:type="dxa"/>
            </w:tcMar>
          </w:tcPr>
          <w:p>
            <w:pPr>
              <w:keepNext w:val="0"/>
            </w:pPr>
            <w:r/>
          </w:p>
        </w:tc>
      </w:tr>
      <w:tr>
        <w:trPr>
          <w:cantSplit/>
        </w:trPr>
        <w:tc>
          <w:tcPr>
            <w:tcW w:type="dxa" w:w="3024"/>
            <w:tcMar>
              <w:top w:w="80" w:type="dxa"/>
              <w:start w:w="95" w:type="dxa"/>
              <w:bottom w:w="80" w:type="dxa"/>
              <w:end w:w="95" w:type="dxa"/>
            </w:tcMar>
          </w:tcPr>
          <w:p>
            <w:pPr>
              <w:keepNext w:val="0"/>
            </w:pPr>
            <w:r>
              <w:t>Root cause</w:t>
            </w:r>
          </w:p>
        </w:tc>
        <w:tc>
          <w:tcPr>
            <w:tcW w:type="dxa" w:w="6624"/>
            <w:tcMar>
              <w:top w:w="80" w:type="dxa"/>
              <w:start w:w="95" w:type="dxa"/>
              <w:bottom w:w="80" w:type="dxa"/>
              <w:end w:w="95" w:type="dxa"/>
            </w:tcMar>
          </w:tcPr>
          <w:p>
            <w:pPr>
              <w:keepNext w:val="0"/>
            </w:pPr>
            <w:r/>
          </w:p>
        </w:tc>
      </w:tr>
      <w:tr>
        <w:trPr>
          <w:cantSplit/>
        </w:trPr>
        <w:tc>
          <w:tcPr>
            <w:tcW w:type="dxa" w:w="3024"/>
            <w:tcMar>
              <w:top w:w="80" w:type="dxa"/>
              <w:start w:w="95" w:type="dxa"/>
              <w:bottom w:w="80" w:type="dxa"/>
              <w:end w:w="95" w:type="dxa"/>
            </w:tcMar>
          </w:tcPr>
          <w:p>
            <w:pPr>
              <w:keepNext w:val="0"/>
            </w:pPr>
            <w:r>
              <w:t>Recovery action</w:t>
            </w:r>
          </w:p>
        </w:tc>
        <w:tc>
          <w:tcPr>
            <w:tcW w:type="dxa" w:w="6624"/>
            <w:tcMar>
              <w:top w:w="80" w:type="dxa"/>
              <w:start w:w="95" w:type="dxa"/>
              <w:bottom w:w="80" w:type="dxa"/>
              <w:end w:w="95" w:type="dxa"/>
            </w:tcMar>
          </w:tcPr>
          <w:p>
            <w:pPr>
              <w:keepNext w:val="0"/>
            </w:pPr>
            <w:r/>
          </w:p>
        </w:tc>
      </w:tr>
      <w:tr>
        <w:trPr>
          <w:cantSplit/>
        </w:trPr>
        <w:tc>
          <w:tcPr>
            <w:tcW w:type="dxa" w:w="3024"/>
            <w:tcMar>
              <w:top w:w="80" w:type="dxa"/>
              <w:start w:w="95" w:type="dxa"/>
              <w:bottom w:w="80" w:type="dxa"/>
              <w:end w:w="95" w:type="dxa"/>
            </w:tcMar>
          </w:tcPr>
          <w:p>
            <w:pPr>
              <w:keepNext w:val="0"/>
            </w:pPr>
            <w:r>
              <w:t>Acceptance result</w:t>
            </w:r>
          </w:p>
        </w:tc>
        <w:tc>
          <w:tcPr>
            <w:tcW w:type="dxa" w:w="6624"/>
            <w:tcMar>
              <w:top w:w="80" w:type="dxa"/>
              <w:start w:w="95" w:type="dxa"/>
              <w:bottom w:w="80" w:type="dxa"/>
              <w:end w:w="95" w:type="dxa"/>
            </w:tcMar>
          </w:tcPr>
          <w:p>
            <w:pPr>
              <w:keepNext w:val="0"/>
            </w:pPr>
            <w:r/>
          </w:p>
        </w:tc>
      </w:tr>
      <w:tr>
        <w:trPr>
          <w:cantSplit/>
        </w:trPr>
        <w:tc>
          <w:tcPr>
            <w:tcW w:type="dxa" w:w="3024"/>
            <w:tcMar>
              <w:top w:w="80" w:type="dxa"/>
              <w:start w:w="95" w:type="dxa"/>
              <w:bottom w:w="80" w:type="dxa"/>
              <w:end w:w="95" w:type="dxa"/>
            </w:tcMar>
          </w:tcPr>
          <w:p>
            <w:pPr>
              <w:keepNext w:val="0"/>
            </w:pPr>
            <w:r>
              <w:t>Follow-up owner/date</w:t>
            </w:r>
          </w:p>
        </w:tc>
        <w:tc>
          <w:tcPr>
            <w:tcW w:type="dxa" w:w="6624"/>
            <w:tcMar>
              <w:top w:w="80" w:type="dxa"/>
              <w:start w:w="95" w:type="dxa"/>
              <w:bottom w:w="80" w:type="dxa"/>
              <w:end w:w="95" w:type="dxa"/>
            </w:tcMar>
          </w:tcPr>
          <w:p>
            <w:pPr>
              <w:keepNext w:val="0"/>
            </w:pPr>
            <w:r/>
          </w:p>
        </w:tc>
      </w:tr>
    </w:tbl>
    <w:p>
      <w:pPr>
        <w:spacing w:after="20"/>
      </w:pPr>
    </w:p>
    <w:sectPr>
      <w:headerReference w:type="default" r:id="rId9"/>
      <w:footerReference w:type="default" r:id="rId10"/>
      <w:pgSz w:w="12240" w:h="15840"/>
      <w:pgMar w:top="1512" w:right="1037" w:bottom="1080" w:left="1037"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372"/>
        <w:sz w:val="16"/>
      </w:rPr>
      <w:t xml:space="preserve">ETIS Engineering Studio  •  Production Operations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5040"/>
      <w:gridCol w:w="5040"/>
    </w:tblGrid>
    <w:tr>
      <w:tc>
        <w:tcPr>
          <w:tcW w:type="dxa" w:w="835"/>
          <w:shd w:fill="0B1722"/>
        </w:tcPr>
        <w:p>
          <w:pPr>
            <w:jc w:val="center"/>
          </w:pPr>
          <w:r>
            <w:rPr>
              <w:b/>
              <w:color w:val="5CCEC5"/>
              <w:sz w:val="26"/>
            </w:rPr>
            <w:t>E</w:t>
          </w:r>
        </w:p>
      </w:tc>
      <w:tc>
        <w:tcPr>
          <w:tcW w:type="dxa" w:w="9245"/>
          <w:shd w:fill="0B1722"/>
        </w:tcPr>
        <w:p>
          <w:r>
            <w:rPr>
              <w:b/>
              <w:color w:val="FFFFFF"/>
              <w:sz w:val="17"/>
            </w:rPr>
            <w:t>ETIS ENGINEERING STUDIO  |  PRODUCTION OPERATIONS RUNBOOK</w:t>
          </w:r>
        </w:p>
      </w:tc>
      <w:trPr>
        <w:tblHeader/>
      </w:trPr>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70"/>
      <w:outlineLvl w:val="0"/>
    </w:pPr>
    <w:rPr>
      <w:rFonts w:asciiTheme="majorHAnsi" w:eastAsiaTheme="majorEastAsia" w:hAnsiTheme="majorHAnsi" w:cstheme="majorBidi" w:ascii="Arial" w:hAnsi="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120" w:after="70"/>
      <w:outlineLvl w:val="1"/>
    </w:pPr>
    <w:rPr>
      <w:rFonts w:asciiTheme="majorHAnsi" w:eastAsiaTheme="majorEastAsia" w:hAnsiTheme="majorHAnsi" w:cstheme="majorBidi" w:ascii="Arial" w:hAnsi="Arial"/>
      <w:b/>
      <w:bCs/>
      <w:color w:val="287E78"/>
      <w:sz w:val="26"/>
      <w:szCs w:val="26"/>
    </w:rPr>
  </w:style>
  <w:style w:type="paragraph" w:styleId="Heading3">
    <w:name w:val="heading 3"/>
    <w:basedOn w:val="Normal"/>
    <w:next w:val="Normal"/>
    <w:link w:val="Heading3Char"/>
    <w:uiPriority w:val="9"/>
    <w:unhideWhenUsed/>
    <w:qFormat/>
    <w:rsid w:val="00FC693F"/>
    <w:pPr>
      <w:keepNext/>
      <w:keepLines/>
      <w:spacing w:before="80" w:after="70"/>
      <w:outlineLvl w:val="2"/>
    </w:pPr>
    <w:rPr>
      <w:rFonts w:asciiTheme="majorHAnsi" w:eastAsiaTheme="majorEastAsia" w:hAnsiTheme="majorHAnsi" w:cstheme="majorBidi" w:ascii="Arial" w:hAnsi="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70" w:line="240" w:lineRule="auto" w:before="100"/>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80" w:after="70"/>
    </w:pPr>
    <w:rPr>
      <w:rFonts w:asciiTheme="majorHAnsi" w:eastAsiaTheme="majorEastAsia" w:hAnsiTheme="majorHAnsi" w:cstheme="majorBidi" w:ascii="Arial" w:hAnsi="Arial"/>
      <w:b/>
      <w:i/>
      <w:iCs/>
      <w:color w:val="55637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TISCaption">
    <w:name w:val="ETIS Caption"/>
    <w:pPr>
      <w:spacing w:after="140"/>
    </w:pPr>
    <w:rPr>
      <w:rFonts w:ascii="Arial" w:hAnsi="Arial"/>
      <w:i/>
      <w:color w:val="556372"/>
      <w:sz w:val="16"/>
    </w:rPr>
  </w:style>
  <w:style w:type="paragraph" w:customStyle="1" w:styleId="ETISCode">
    <w:name w:val="ETIS Code"/>
    <w:pPr>
      <w:spacing w:after="40"/>
      <w:ind w:left="259" w:right="173"/>
    </w:pPr>
    <w:rPr>
      <w:rFonts w:ascii="Courier New" w:hAnsi="Courier New"/>
      <w:color w:val="1F29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png"/><Relationship Id="rId14" Type="http://schemas.openxmlformats.org/officeDocument/2006/relationships/image" Target="media/image4.jp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Production Operations Runbook v0.18.0</dc:title>
  <dc:subject>ETIS Engineering Studio v0.18.0 manual edition</dc:subject>
  <dc:creator/>
  <cp:keywords/>
  <dc:description>Current instructions; historical reference figures retained.</dc:description>
  <cp:lastModifiedBy/>
  <cp:revision>1</cp:revision>
  <dcterms:created xsi:type="dcterms:W3CDTF">2013-12-23T23:15:00Z</dcterms:created>
  <dcterms:modified xsi:type="dcterms:W3CDTF">2013-12-23T23:15:00Z</dcterms:modified>
  <cp:category/>
</cp:coreProperties>
</file>