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/>
      </w:pPr>
      <w:r>
        <w:rPr>
          <w:b/>
          <w:color w:val="287E78"/>
          <w:sz w:val="30"/>
        </w:rPr>
        <w:t>ETIS</w:t>
      </w:r>
    </w:p>
    <w:p>
      <w:pPr>
        <w:pStyle w:val="Title"/>
      </w:pPr>
      <w:r>
        <w:t>Production Operations Runbook</w:t>
      </w:r>
    </w:p>
    <w:p>
      <w:pPr>
        <w:pStyle w:val="Subtitle"/>
      </w:pPr>
      <w:r>
        <w:t>Incident-oriented procedures for operating, diagnosing, stabilizing, and returning ETIS Engineering Studio production to service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Course owners, ETIS operators, maintainers, and incident responders</w:t>
            </w:r>
          </w:p>
        </w:tc>
      </w:tr>
      <w:tr>
        <w:trPr>
          <w:cantSplit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Provide symptom-to-action runbooks for normal operations and production incidents without bypassing security, evidence, or deployment boundaries.</w:t>
            </w:r>
          </w:p>
        </w:tc>
      </w:tr>
      <w:tr>
        <w:trPr>
          <w:cantSplit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Production service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https://simulator.etisframework.org</w:t>
            </w:r>
          </w:p>
        </w:tc>
      </w:tr>
      <w:tr>
        <w:trPr>
          <w:cantSplit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Reference implementation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COMP 330/474 Software Engineering • Fall 2026</w:t>
            </w:r>
          </w:p>
        </w:tc>
      </w:tr>
      <w:tr>
        <w:trPr>
          <w:cantSplit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Semester Start 2026 • August 23, 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EAF5F4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287E78"/>
                <w:sz w:val="18"/>
              </w:rPr>
              <w:t>OPERATING PRINCIPLE</w:t>
              <w:br/>
            </w:r>
            <w:r>
              <w:t>Production changes must be deliberate, reversible where possible, observable, and validated. The repository and protected deployment workflow remain authoritative; local tools do not replace controlled deployment.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Contents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Executive Overview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How to use this runbook and the incident discipline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1-3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Operating posture, observability, daily/weekly routines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4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Incident triage and evidence preservation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5-13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Symptom-specific runbooks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14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Return-to-service and post-incident review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Appendices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Escalation matrix, command sequence, incident record template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Executive Overview</w:t>
      </w:r>
    </w:p>
    <w:p>
      <w:r>
        <w:t>This runbook starts from symptoms, not tools. Its purpose is to help an operator distinguish application, identity, GitHub, database, Azure runtime, and cost-control failures before making a change. The default response is inspect → classify → stabilize → recover → validate → document.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395728"/>
            <wp:docPr id="1" name="Picture 1" descr="Figure 1. Production incident triage. Understand the failure boundary before changing production." titl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_tri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9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1. Production incident triage. Understand the failure boundary before changing production.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FF2CC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8A5A00"/>
                <w:sz w:val="18"/>
              </w:rPr>
              <w:t>INCIDENT RULE</w:t>
              <w:br/>
            </w:r>
            <w:r>
              <w:t>Do not perform speculative fixes on a healthy subsystem. Preserve the current revision, timestamps, error messages, and affected user/team context before mutation.</w:t>
            </w:r>
          </w:p>
        </w:tc>
      </w:tr>
    </w:tbl>
    <w:p>
      <w:pPr>
        <w:spacing w:after="20"/>
      </w:pPr>
    </w:p>
    <w:p>
      <w:pPr>
        <w:pStyle w:val="Heading1"/>
      </w:pPr>
      <w:r>
        <w:t>1. Production operating posture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88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676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Normal posture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Container App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Single revision mode; min/max 1/5; at least one warm running replica during semester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Public service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HTTPS at simulator.etisframework.org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Database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Private PostgreSQL Flexible Server; migrations current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Identity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Loyola Entra authentication plus ETIS course authorization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Repository evidence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GitHub App read-only selected-repository access; GitHub OAuth identity link separate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Deployment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Protected GitHub workflow; no local deploy command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Observability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Application Insights/Log Analytics plus four core Azure Monitor alert rules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Cost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Budget $100/month; 50/80/100% actual-cost alerts; advisory telemetry</w:t>
            </w:r>
          </w:p>
        </w:tc>
      </w:tr>
    </w:tbl>
    <w:p>
      <w:pPr>
        <w:spacing w:after="20"/>
      </w:pPr>
    </w:p>
    <w:p>
      <w:pPr>
        <w:pStyle w:val="Heading1"/>
      </w:pPr>
      <w:r>
        <w:t>2. Monitoring and alert baseline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324956"/>
            <wp:docPr id="2" name="Picture 2" descr="Figure 2. Production Azure Monitor alert rules. The accepted baseline covers Container App restarts, HTTP 5xx, PostgreSQL availability, and PostgreSQL storage pressure." title="Fig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s_cro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2. Production Azure Monitor alert rules. The accepted baseline covers Container App restarts, HTTP 5xx, PostgreSQL availability, and PostgreSQL storage pressure.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376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Alert</w:t>
            </w:r>
          </w:p>
        </w:tc>
        <w:tc>
          <w:tcPr>
            <w:tcW w:type="dxa" w:w="2304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Condition</w:t>
            </w:r>
          </w:p>
        </w:tc>
        <w:tc>
          <w:tcPr>
            <w:tcW w:type="dxa" w:w="144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Severity</w:t>
            </w:r>
          </w:p>
        </w:tc>
        <w:tc>
          <w:tcPr>
            <w:tcW w:type="dxa" w:w="3456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Response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Container restart</w:t>
            </w:r>
          </w:p>
        </w:tc>
        <w:tc>
          <w:tcPr>
            <w:tcW w:type="dxa" w:w="230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RestartCount &gt;= 1</w:t>
            </w:r>
          </w:p>
        </w:tc>
        <w:tc>
          <w:tcPr>
            <w:tcW w:type="dxa" w:w="144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Warning</w:t>
            </w:r>
          </w:p>
        </w:tc>
        <w:tc>
          <w:tcPr>
            <w:tcW w:type="dxa" w:w="34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Check `replicas` and `logs`; correlate with deployments and dependency failures.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HTTP 5xx</w:t>
            </w:r>
          </w:p>
        </w:tc>
        <w:tc>
          <w:tcPr>
            <w:tcW w:type="dxa" w:w="230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Requests &gt;= 1</w:t>
            </w:r>
          </w:p>
        </w:tc>
        <w:tc>
          <w:tcPr>
            <w:tcW w:type="dxa" w:w="144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Error</w:t>
            </w:r>
          </w:p>
        </w:tc>
        <w:tc>
          <w:tcPr>
            <w:tcW w:type="dxa" w:w="34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Run `health`, `logs`, and review request timing; determine whether failure is isolated or systemic.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PostgreSQL availability</w:t>
            </w:r>
          </w:p>
        </w:tc>
        <w:tc>
          <w:tcPr>
            <w:tcW w:type="dxa" w:w="230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is_db_alive &lt; 1</w:t>
            </w:r>
          </w:p>
        </w:tc>
        <w:tc>
          <w:tcPr>
            <w:tcW w:type="dxa" w:w="144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Critical</w:t>
            </w:r>
          </w:p>
        </w:tc>
        <w:tc>
          <w:tcPr>
            <w:tcW w:type="dxa" w:w="34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Treat as a database availability incident. Block acceptance and move to recovery/DB diagnostics.</w:t>
            </w:r>
          </w:p>
        </w:tc>
      </w:tr>
      <w:tr>
        <w:trPr>
          <w:cantSplit/>
        </w:trPr>
        <w:tc>
          <w:tcPr>
            <w:tcW w:type="dxa" w:w="237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PostgreSQL storage</w:t>
            </w:r>
          </w:p>
        </w:tc>
        <w:tc>
          <w:tcPr>
            <w:tcW w:type="dxa" w:w="230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storage_percent &gt;= 80</w:t>
            </w:r>
          </w:p>
        </w:tc>
        <w:tc>
          <w:tcPr>
            <w:tcW w:type="dxa" w:w="144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Warning</w:t>
            </w:r>
          </w:p>
        </w:tc>
        <w:tc>
          <w:tcPr>
            <w:tcW w:type="dxa" w:w="34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Review growth and capacity before exhaustion. This is a stewardship/reliability signal, not a reason to delete data.</w:t>
            </w:r>
          </w:p>
        </w:tc>
      </w:tr>
    </w:tbl>
    <w:p>
      <w:pPr>
        <w:spacing w:after="20"/>
      </w:pPr>
    </w:p>
    <w:p>
      <w:pPr>
        <w:pStyle w:val="Heading1"/>
      </w:pPr>
      <w:r>
        <w:t>3. Routine operating cadence</w:t>
      </w:r>
    </w:p>
    <w:p>
      <w:pPr>
        <w:pStyle w:val="Heading2"/>
      </w:pPr>
      <w:r>
        <w:t>3.1 Before class / high-use period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ETISCode"/>
              <w:spacing w:after="0"/>
            </w:pPr>
            <w:r>
              <w:t>./scripts/azure/etis-azure status</w:t>
            </w:r>
            <w:r>
              <w:br/>
            </w:r>
            <w:r>
              <w:t>./scripts/azure/etis-azure health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t>If both pass, the platform has a healthy basic operating posture.</w:t>
      </w:r>
    </w:p>
    <w:p>
      <w:pPr>
        <w:pStyle w:val="ListBullet"/>
        <w:spacing w:after="40"/>
      </w:pPr>
      <w:r>
        <w:t>If a deployment occurred, run full acceptance instead.</w:t>
      </w:r>
    </w:p>
    <w:p>
      <w:pPr>
        <w:pStyle w:val="ListBullet"/>
        <w:spacing w:after="40"/>
      </w:pPr>
      <w:r>
        <w:t>If students report access issues while platform health passes, shift to identity/course/GitHub triage rather than restarting Azure.</w:t>
      </w:r>
    </w:p>
    <w:p>
      <w:pPr>
        <w:pStyle w:val="Heading2"/>
      </w:pPr>
      <w:r>
        <w:t>3.2 After deployment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ETISCode"/>
              <w:spacing w:after="0"/>
            </w:pPr>
            <w:r>
              <w:t>./scripts/azure/etis-azure acceptance</w:t>
            </w:r>
          </w:p>
        </w:tc>
      </w:tr>
    </w:tbl>
    <w:p>
      <w:pPr>
        <w:spacing w:after="20"/>
      </w:pPr>
    </w:p>
    <w:p>
      <w:r>
        <w:t>The required acceptance gates are production status, health, replica capacity, external smoke test, drift, and budget controls. Cost telemetry is informational.</w:t>
      </w:r>
    </w:p>
    <w:p>
      <w:pPr>
        <w:pStyle w:val="Heading2"/>
      </w:pPr>
      <w:r>
        <w:t>3.3 Weekly stewardship</w:t>
      </w:r>
    </w:p>
    <w:p>
      <w:pPr>
        <w:pStyle w:val="ListBullet"/>
        <w:spacing w:after="40"/>
      </w:pPr>
      <w:r>
        <w:t>Review Azure Monitor alerts and any recurring restart/5xx pattern.</w:t>
      </w:r>
    </w:p>
    <w:p>
      <w:pPr>
        <w:pStyle w:val="ListBullet"/>
        <w:spacing w:after="40"/>
      </w:pPr>
      <w:r>
        <w:t>Run `budget`; review `cost` if available.</w:t>
      </w:r>
    </w:p>
    <w:p>
      <w:pPr>
        <w:pStyle w:val="ListBullet"/>
        <w:spacing w:after="40"/>
      </w:pPr>
      <w:r>
        <w:t>Review replica baseline and drift.</w:t>
      </w:r>
    </w:p>
    <w:p>
      <w:pPr>
        <w:pStyle w:val="ListBullet"/>
        <w:spacing w:after="40"/>
      </w:pPr>
      <w:r>
        <w:t>Confirm recent Deploy Azure runs correspond to intended merged commits.</w:t>
      </w:r>
    </w:p>
    <w:p>
      <w:pPr>
        <w:pStyle w:val="ListBullet"/>
        <w:spacing w:after="40"/>
      </w:pPr>
      <w:r>
        <w:t>Do not change capacity merely because usage increased once; look for sustained signals.</w:t>
      </w:r>
    </w:p>
    <w:p>
      <w:pPr>
        <w:pStyle w:val="Heading1"/>
      </w:pPr>
      <w:r>
        <w:t>4. Incident triage procedure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Record incident start time, reporter, affected section/team/user, and the exact action that failed.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Run `etis-azure status` and `health` without changing anything.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If either is abnormal, run `replicas` and `logs`; capture the current/latest revision and restart/error state.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Classify the boundary: Azure runtime/ingress, database/migration, Entra/session, GitHub identity/App, application logic, or cost/monitoring only.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Use the smallest runbook below that matches the boundary.</w:t>
      </w:r>
    </w:p>
    <w:p>
      <w:pPr>
        <w:spacing w:after="50"/>
        <w:ind w:left="288" w:hanging="288"/>
      </w:pPr>
      <w:r>
        <w:rPr>
          <w:b/>
        </w:rPr>
        <w:t xml:space="preserve">6. </w:t>
      </w:r>
      <w:r>
        <w:t>After any recovery, run full production acceptance and a human spot-check of the affected user path.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EAF1F8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287E78"/>
                <w:sz w:val="18"/>
              </w:rPr>
              <w:t>CAPTURE BEFORE CHANGE</w:t>
              <w:br/>
            </w:r>
            <w:r>
              <w:t>At minimum preserve: current revision, time window, failing URL/action, HTTP status or visible error, `status`/`health` output, relevant log excerpt, and whether the problem affects one user/team or everyone.</w:t>
            </w:r>
          </w:p>
        </w:tc>
      </w:tr>
    </w:tbl>
    <w:p>
      <w:pPr>
        <w:spacing w:after="20"/>
      </w:pPr>
    </w:p>
    <w:p>
      <w:pPr>
        <w:pStyle w:val="Heading1"/>
      </w:pPr>
      <w:r>
        <w:t>5. Runbook: Studio is unavailable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ETISCode"/>
              <w:spacing w:after="0"/>
            </w:pPr>
            <w:r>
              <w:t>./scripts/azure/etis-azure status</w:t>
            </w:r>
            <w:r>
              <w:br/>
            </w:r>
            <w:r>
              <w:t>./scripts/azure/etis-azure health</w:t>
            </w:r>
            <w:r>
              <w:br/>
            </w:r>
            <w:r>
              <w:t>./scripts/azure/etis-azure replicas</w:t>
            </w:r>
            <w:r>
              <w:br/>
            </w:r>
            <w:r>
              <w:t>./scripts/azure/etis-azure logs --tail 100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915160"/>
            <wp:docPr id="3" name="Picture 3" descr="Figure 3. `/health` answers whether the process is alive; `/ready` answers whether the service is ready to perform production work." title="Fig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_read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3. `/health` answers whether the process is alive; `/ready` answers whether the service is ready to perform production work.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If `status` cannot reach the Container App, verify Azure context and portal state.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If `/health` fails, prioritize replica/ingress/startup diagnostics.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If `/health` passes but `/ready` fails, move immediately to database/migration/dependency diagnosis.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If both pass but the browser fails, run `smoke` to test root/auth/bootstrap behavior.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Do not use `scale` to conceal a crash loop.</w:t>
      </w:r>
    </w:p>
    <w:p>
      <w:pPr>
        <w:pStyle w:val="Heading1"/>
      </w:pPr>
      <w:r>
        <w:t>6. Runbook: login/authentication problem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Determine whether the issue is all users or one user.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Run `smoke`; confirm root login gate and Entra redirect behavior.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If platform smoke passes, verify the user is using the intended Loyola identity and is currently authorized in the course/section.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For one-user issues, distinguish authentication from roster/course authorization.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If callback/session behavior is broken for everyone, review the deployment, web origin, Entra callback alignment, and logs around `/auth/entra`/callback.</w:t>
      </w:r>
    </w:p>
    <w:p>
      <w:pPr>
        <w:spacing w:after="50"/>
        <w:ind w:left="288" w:hanging="288"/>
      </w:pPr>
      <w:r>
        <w:rPr>
          <w:b/>
        </w:rPr>
        <w:t xml:space="preserve">6. </w:t>
      </w:r>
      <w:r>
        <w:t>Do not weaken Loyola MFA or enable development login as an incident workaround.</w:t>
      </w:r>
    </w:p>
    <w:p>
      <w:pPr>
        <w:pStyle w:val="Heading1"/>
      </w:pPr>
      <w:r>
        <w:t>7. Runbook: GitHub repository onboarding/access problem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Confirm whether GitHub identity linking is healthy separately from repository App access.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On My Team, identify the exact stage: no repo nominated, Step 1 owner/admin authorization, Step 2 exact verification, or previously verified repo.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For organization repos, GitHub organization authority may be required; do not mislabel this automatically as instructor approval.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Confirm GitHub App installation uses Only select repositories and includes the nominated repo.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Return to Studio and perform Step 2 exact verification.</w:t>
      </w:r>
    </w:p>
    <w:p>
      <w:pPr>
        <w:spacing w:after="50"/>
        <w:ind w:left="288" w:hanging="288"/>
      </w:pPr>
      <w:r>
        <w:rPr>
          <w:b/>
        </w:rPr>
        <w:t xml:space="preserve">6. </w:t>
      </w:r>
      <w:r>
        <w:t>If a verified repo must change, use the instructor bounded reset path rather than editing database state.</w:t>
      </w:r>
    </w:p>
    <w:p>
      <w:pPr>
        <w:pStyle w:val="Heading1"/>
      </w:pPr>
      <w:r>
        <w:t>8. Runbook: `/ready` failure or migration mismatch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ETISCode"/>
              <w:spacing w:after="0"/>
            </w:pPr>
            <w:r>
              <w:t>./scripts/azure/etis-azure health</w:t>
            </w:r>
            <w:r>
              <w:br/>
            </w:r>
            <w:r>
              <w:t>./scripts/azure/etis-azure logs --tail 150</w:t>
            </w:r>
          </w:p>
        </w:tc>
      </w:tr>
    </w:tbl>
    <w:p>
      <w:pPr>
        <w:spacing w:after="20"/>
      </w:pPr>
    </w:p>
    <w:p>
      <w:pPr>
        <w:spacing w:after="50"/>
        <w:ind w:left="288" w:hanging="288"/>
      </w:pPr>
      <w:r>
        <w:rPr>
          <w:b/>
        </w:rPr>
        <w:t xml:space="preserve">1. </w:t>
      </w:r>
      <w:r>
        <w:t>Treat `migration_current=False` as release-blocking.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Confirm PostgreSQL server availability and network/private connectivity.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Review the migration job/deployment workflow for the current revision.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Never patch the production schema manually to make readiness green.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If the database is unavailable or data integrity is in question, transition to the Backup/Recovery/DR Runbook.</w:t>
      </w:r>
    </w:p>
    <w:p>
      <w:pPr>
        <w:pStyle w:val="Heading1"/>
      </w:pPr>
      <w:r>
        <w:t>9. Runbook: replica restart or capacity problem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ETISCode"/>
              <w:spacing w:after="0"/>
            </w:pPr>
            <w:r>
              <w:t>./scripts/azure/etis-azure replicas</w:t>
            </w:r>
            <w:r>
              <w:br/>
            </w:r>
            <w:r>
              <w:t>./scripts/azure/etis-azure logs --tail 100</w:t>
            </w:r>
            <w:r>
              <w:br/>
            </w:r>
            <w:r>
              <w:t>./scripts/azure/etis-azure config</w:t>
            </w:r>
          </w:p>
        </w:tc>
      </w:tr>
    </w:tbl>
    <w:p>
      <w:pPr>
        <w:spacing w:after="20"/>
      </w:pPr>
    </w:p>
    <w:p>
      <w:pPr>
        <w:spacing w:after="50"/>
        <w:ind w:left="288" w:hanging="288"/>
      </w:pPr>
      <w:r>
        <w:rPr>
          <w:b/>
        </w:rPr>
        <w:t xml:space="preserve">1. </w:t>
      </w:r>
      <w:r>
        <w:t>Check readiness, running state, restart counts, and revision.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Correlate restarts with deployment time and application/dependency errors.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Confirm min/max remains 1/5 unless an intentional override is documented.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Use `scale` only for an intentional temporary capacity decision after the application is healthy.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A request to reduce min replicas to 0 should explicitly acknowledge cold-start latency.</w:t>
      </w:r>
    </w:p>
    <w:p>
      <w:pPr>
        <w:pStyle w:val="Heading1"/>
      </w:pPr>
      <w:r>
        <w:t>10. Runbook: high latency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Run `health` and note endpoint latency.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Check replicas/restarts and whether min replicas is still 1.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Inspect logs for slow/erroring requests and dependency timeouts.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Review OpenAI latency separately from core application readiness.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If latency is isolated to AI review turns, keep deterministic authorization/evidence paths available and communicate advisory degradation rather than declaring the whole Studio down.</w:t>
      </w:r>
    </w:p>
    <w:p>
      <w:pPr>
        <w:pStyle w:val="Heading1"/>
      </w:pPr>
      <w:r>
        <w:t>11. Runbook: OpenAI degradation or outage</w:t>
      </w:r>
    </w:p>
    <w:p>
      <w:pPr>
        <w:pStyle w:val="ListBullet"/>
        <w:spacing w:after="40"/>
      </w:pPr>
      <w:r>
        <w:t>AI reviewers are bounded advisers; deterministic authorization, course/term state, evidence snapshots, and existing records remain authoritative.</w:t>
      </w:r>
    </w:p>
    <w:p>
      <w:pPr>
        <w:pStyle w:val="ListBullet"/>
        <w:spacing w:after="40"/>
      </w:pPr>
      <w:r>
        <w:t>Do not fabricate reviewer results or silently substitute unvalidated outputs.</w:t>
      </w:r>
    </w:p>
    <w:p>
      <w:pPr>
        <w:pStyle w:val="ListBullet"/>
        <w:spacing w:after="40"/>
      </w:pPr>
      <w:r>
        <w:t>If AI calls fail, preserve the review/session state and surface the dependency failure; students can continue repository engineering work.</w:t>
      </w:r>
    </w:p>
    <w:p>
      <w:pPr>
        <w:pStyle w:val="ListBullet"/>
        <w:spacing w:after="40"/>
      </w:pPr>
      <w:r>
        <w:t>Use AI Usage &amp; Cost/telemetry and logs to distinguish latency, model/provider failure, and application errors.</w:t>
      </w:r>
    </w:p>
    <w:p>
      <w:pPr>
        <w:pStyle w:val="ListBullet"/>
        <w:spacing w:after="40"/>
      </w:pPr>
      <w:r>
        <w:t>When service returns, validate a non-destructive review interaction before broad use.</w:t>
      </w:r>
    </w:p>
    <w:p>
      <w:pPr>
        <w:pStyle w:val="Heading1"/>
      </w:pPr>
      <w:r>
        <w:t>12. Runbook: configuration drift or wrong revision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ETISCode"/>
              <w:spacing w:after="0"/>
            </w:pPr>
            <w:r>
              <w:t>./scripts/azure/etis-azure drift</w:t>
            </w:r>
            <w:r>
              <w:br/>
            </w:r>
            <w:r>
              <w:t>./scripts/azure/etis-azure status</w:t>
            </w:r>
            <w:r>
              <w:br/>
            </w:r>
            <w:r>
              <w:t>./scripts/azure/etis-azure revisions</w:t>
            </w:r>
          </w:p>
        </w:tc>
      </w:tr>
    </w:tbl>
    <w:p>
      <w:pPr>
        <w:spacing w:after="20"/>
      </w:pPr>
    </w:p>
    <w:p>
      <w:pPr>
        <w:spacing w:after="50"/>
        <w:ind w:left="288" w:hanging="288"/>
      </w:pPr>
      <w:r>
        <w:rPr>
          <w:b/>
        </w:rPr>
        <w:t xml:space="preserve">1. </w:t>
      </w:r>
      <w:r>
        <w:t>Identify the expected merged commit and successful Deploy Azure run.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Compare latest revision/traffic to the expected deployment.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For drift, decide whether the source baseline or live runtime is wrong.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If a bad deployment is confirmed, use controlled rollback/redeployment per the DR Runbook; do not hand-edit production until it “looks right.”</w:t>
      </w:r>
    </w:p>
    <w:p>
      <w:pPr>
        <w:pStyle w:val="Heading1"/>
      </w:pPr>
      <w:r>
        <w:t>13. Runbook: cost or budget alert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677536"/>
            <wp:docPr id="4" name="Picture 4" descr="Figure 4. Production budget detail. The budget resets monthly at $100 with actual-cost alerts at 50%, 80%, and 100%." title="Fig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_crop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77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4. Production budget detail. The budget resets monthly at $100 with actual-cost alerts at 50%, 80%, and 100%.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ETISCode"/>
              <w:spacing w:after="0"/>
            </w:pPr>
            <w:r>
              <w:t>./scripts/azure/etis-azure budget</w:t>
            </w:r>
            <w:r>
              <w:br/>
            </w:r>
            <w:r>
              <w:t>./scripts/azure/etis-azure cost</w:t>
            </w:r>
          </w:p>
        </w:tc>
      </w:tr>
    </w:tbl>
    <w:p>
      <w:pPr>
        <w:spacing w:after="20"/>
      </w:pPr>
    </w:p>
    <w:p>
      <w:pPr>
        <w:spacing w:after="50"/>
        <w:ind w:left="288" w:hanging="288"/>
      </w:pPr>
      <w:r>
        <w:rPr>
          <w:b/>
        </w:rPr>
        <w:t xml:space="preserve">1. </w:t>
      </w:r>
      <w:r>
        <w:t>Confirm the alert is actual cost and identify the threshold.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Review whether increased spend corresponds to expected usage, deployment churn, database/runtime growth, or an anomaly.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Do not automatically stop or scale down production solely because a threshold fired.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If `cost` is throttled by Azure, do not repeatedly retry; budget controls remain the durable signal.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Document any approved baseline/budget change.</w:t>
      </w:r>
    </w:p>
    <w:p>
      <w:pPr>
        <w:pStyle w:val="Heading1"/>
      </w:pPr>
      <w:r>
        <w:t>14. Return-to-service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17040"/>
            <wp:docPr id="5" name="Picture 5" descr="Figure 5. Technical recovery is not the end of an incident. Return to service requires full acceptance plus a human spot-check of the affected path." title="Fig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urn_servi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5. Technical recovery is not the end of an incident. Return to service requires full acceptance plus a human spot-check of the affected path.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Run `etis-azure acceptance`.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Confirm every required production check passes.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Spot-check the user path that failed (Loyola sign-in, GitHub verification, review start, etc.).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Confirm no temporary secret, permission expansion, or unsafe runtime override remains.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Record the final revision, recovery action, validation evidence, and incident end time.</w:t>
      </w:r>
    </w:p>
    <w:p>
      <w:pPr>
        <w:pStyle w:val="Heading1"/>
      </w:pPr>
      <w:r>
        <w:t>15. Post-incident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88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676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Record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What happened?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User-visible symptom and technical failure boundary.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Why did it happen?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Trigger/root cause, not merely the first error observed.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What limited impact?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Fail-closed behavior, alerts, replica baseline, rollback, etc.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What changed?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Commit, configuration, secret rotation, recovery action.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How was service validated?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Acceptance output plus human path validation.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What follow-up is justified?</w:t>
            </w:r>
          </w:p>
        </w:tc>
        <w:tc>
          <w:tcPr>
            <w:tcW w:type="dxa" w:w="67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Specific preventive change, test, alert, documentation, or no action if healthy.</w:t>
            </w:r>
          </w:p>
        </w:tc>
      </w:tr>
    </w:tbl>
    <w:p>
      <w:pPr>
        <w:spacing w:after="20"/>
      </w:pPr>
    </w:p>
    <w:p>
      <w:pPr>
        <w:pStyle w:val="Heading1"/>
      </w:pPr>
      <w:r>
        <w:t>Appendix A. Incident command sequence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ETISCode"/>
              <w:spacing w:after="0"/>
            </w:pPr>
            <w:r>
              <w:t>./scripts/azure/etis-azure status</w:t>
            </w:r>
            <w:r>
              <w:br/>
            </w:r>
            <w:r>
              <w:t>./scripts/azure/etis-azure health</w:t>
            </w:r>
            <w:r>
              <w:br/>
            </w:r>
            <w:r>
              <w:t>./scripts/azure/etis-azure replicas</w:t>
            </w:r>
            <w:r>
              <w:br/>
            </w:r>
            <w:r>
              <w:t>./scripts/azure/etis-azure logs --tail 100</w:t>
            </w:r>
            <w:r>
              <w:br/>
            </w:r>
            <w:r>
              <w:t>./scripts/azure/etis-azure drift</w:t>
            </w:r>
            <w:r>
              <w:br/>
            </w:r>
            <w:r>
              <w:t># after recovery</w:t>
            </w:r>
            <w:r>
              <w:br/>
            </w:r>
            <w:r>
              <w:t>./scripts/azure/etis-azure acceptance</w:t>
            </w:r>
          </w:p>
        </w:tc>
      </w:tr>
    </w:tbl>
    <w:p>
      <w:pPr>
        <w:spacing w:after="20"/>
      </w:pPr>
    </w:p>
    <w:p>
      <w:pPr>
        <w:pStyle w:val="Heading1"/>
      </w:pPr>
      <w:r>
        <w:t>Appendix B. Incident record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3024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6624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Value to record</w:t>
            </w:r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Start/end time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Reporter / affected users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Affected section/team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Symptom/action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Current revision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Status/health results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Relevant log window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Root cause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Recovery action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Acceptance result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0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Follow-up owner/date</w:t>
            </w:r>
          </w:p>
        </w:tc>
        <w:tc>
          <w:tcPr>
            <w:tcW w:type="dxa" w:w="662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979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372"/>
        <w:sz w:val="16"/>
      </w:rPr>
      <w:t xml:space="preserve">ETIS Engineering Studio  •  Production Operations  •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"/>
          <w:shd w:fill="0B1722"/>
        </w:tcPr>
        <w:p>
          <w:pPr>
            <w:jc w:val="center"/>
          </w:pPr>
          <w:r>
            <w:rPr>
              <w:b/>
              <w:color w:val="5CCEC5"/>
              <w:sz w:val="26"/>
            </w:rPr>
            <w:t>E</w:t>
          </w:r>
        </w:p>
      </w:tc>
      <w:tc>
        <w:tcPr>
          <w:tcW w:type="dxa" w:w="9245"/>
          <w:shd w:fill="0B1722"/>
        </w:tcPr>
        <w:p>
          <w:r>
            <w:rPr>
              <w:b/>
              <w:color w:val="FFFFFF"/>
              <w:sz w:val="17"/>
            </w:rPr>
            <w:t>ETIS ENGINEERING STUDIO  |  PRODUCTION OPERATIONS RUNBOOK</w:t>
          </w:r>
        </w:p>
      </w:tc>
      <w:trPr>
        <w:tblHeader/>
      </w:trPr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7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70"/>
      <w:outlineLvl w:val="1"/>
    </w:pPr>
    <w:rPr>
      <w:rFonts w:asciiTheme="majorHAnsi" w:eastAsiaTheme="majorEastAsia" w:hAnsiTheme="majorHAnsi" w:cstheme="majorBidi" w:ascii="Arial" w:hAnsi="Arial"/>
      <w:b/>
      <w:bCs/>
      <w:color w:val="287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7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70" w:line="240" w:lineRule="auto" w:before="100"/>
      <w:contextualSpacing/>
    </w:pPr>
    <w:rPr>
      <w:rFonts w:asciiTheme="majorHAnsi" w:eastAsiaTheme="majorEastAsia" w:hAnsiTheme="majorHAnsi" w:cstheme="majorBidi" w:ascii="Arial" w:hAnsi="Arial"/>
      <w:b/>
      <w:color w:val="0B1722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80" w:after="70"/>
    </w:pPr>
    <w:rPr>
      <w:rFonts w:asciiTheme="majorHAnsi" w:eastAsiaTheme="majorEastAsia" w:hAnsiTheme="majorHAnsi" w:cstheme="majorBidi" w:ascii="Arial" w:hAnsi="Arial"/>
      <w:b/>
      <w:i/>
      <w:iCs/>
      <w:color w:val="556372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TISCaption">
    <w:name w:val="ETIS Caption"/>
    <w:pPr>
      <w:spacing w:after="140"/>
    </w:pPr>
    <w:rPr>
      <w:rFonts w:ascii="Arial" w:hAnsi="Arial"/>
      <w:i/>
      <w:color w:val="556372"/>
      <w:sz w:val="16"/>
    </w:rPr>
  </w:style>
  <w:style w:type="paragraph" w:customStyle="1" w:styleId="ETISCode">
    <w:name w:val="ETIS Code"/>
    <w:pPr>
      <w:spacing w:after="40"/>
      <w:ind w:left="259" w:right="173"/>
    </w:pPr>
    <w:rPr>
      <w:rFonts w:ascii="Courier New" w:hAnsi="Courier New"/>
      <w:color w:val="1F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