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/>
      </w:pPr>
      <w:r>
        <w:rPr>
          <w:b/>
          <w:color w:val="287E78"/>
          <w:sz w:val="30"/>
        </w:rPr>
        <w:t>ETIS</w:t>
      </w:r>
    </w:p>
    <w:p>
      <w:pPr>
        <w:pStyle w:val="Title"/>
      </w:pPr>
      <w:r>
        <w:t>Backup, Recovery &amp; Disaster Recovery Runbook</w:t>
      </w:r>
    </w:p>
    <w:p>
      <w:pPr>
        <w:pStyle w:val="Subtitle"/>
      </w:pPr>
      <w:r>
        <w:t>Controlled recovery of application, database, configuration, identity dependencies, and durable engineering records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ETIS production operators, maintainers, course owners, and designated recovery personnel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Provide a safe, testable recovery path that preserves data integrity, provenance, authorization boundaries, and the ability to prove the recovered system is trustworthy.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Production service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https://simulator.etisframework.org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Reference implementation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COMP 330/474 Software Engineering • Fall 2026</w:t>
            </w:r>
          </w:p>
        </w:tc>
      </w:tr>
      <w:tr>
        <w:trPr>
          <w:cantSplit/>
        </w:trPr>
        <w:tc>
          <w:tcPr>
            <w:tcW w:type="dxa" w:w="5083"/>
            <w:shd w:fill="EAF1F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5083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Semester Start 2026 • August 23, 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EAF5F4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287E78"/>
                <w:sz w:val="18"/>
              </w:rPr>
              <w:t>OPERATING PRINCIPLE</w:t>
              <w:br/>
            </w:r>
            <w:r>
              <w:t>Production changes must be deliberate, reversible where possible, observable, and validated. The repository and protected deployment workflow remain authoritative; local tools do not replace controlled deployment.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Contents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Executive Overview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Recovery philosophy and decision model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1-3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Recovery assets, responsibilities, and pre-incident preparation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4-8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Application rollback, PostgreSQL PITR, schema/data validation, secrets/config recovery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9-11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External dependency/DNS recovery, disaster scenarios, return to service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12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DR exercise procedure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72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Appendices</w:t>
            </w:r>
          </w:p>
        </w:tc>
        <w:tc>
          <w:tcPr>
            <w:tcW w:type="dxa" w:w="72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Recovery checklists, validation queries/concepts, evidence record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Executive Overview</w:t>
      </w:r>
    </w:p>
    <w:p>
      <w:r>
        <w:t>ETIS recovery is not “get the web page back.” A recovered system must preserve the semester lifecycle, memberships, frozen evidence, review sessions/turns, findings/dispositions, AI usage records, and the trust boundaries that make those records meaningful. Recovery therefore treats application images, database state, configuration source, secrets, and external identity/repository dependencies as separate layers.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81200"/>
            <wp:docPr id="1" name="Picture 1" descr="Figure 1. Recovery decision model. Use application rollback for application-only regression; use PITR/restore planning when data or schema integrity is involved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deci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1. Recovery decision model. Use application rollback for application-only regression; use PITR/restore planning when data or schema integrity is involved.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EAF5F4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287E78"/>
                <w:sz w:val="18"/>
              </w:rPr>
              <w:t>RECOVERY PRINCIPLE</w:t>
              <w:br/>
            </w:r>
            <w:r>
              <w:t>Prefer the smallest recovery action that restores a known-good, auditable state. Never overwrite or delete the only known copy of production data while investigating.</w:t>
            </w:r>
          </w:p>
        </w:tc>
      </w:tr>
    </w:tbl>
    <w:p>
      <w:pPr>
        <w:spacing w:after="20"/>
      </w:pPr>
    </w:p>
    <w:p>
      <w:pPr>
        <w:pStyle w:val="Heading1"/>
      </w:pPr>
      <w:r>
        <w:t>1. Recovery layers and authoritative records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17040"/>
            <wp:docPr id="2" name="Picture 2" descr="Figure 2. ETIS recovery depends on multiple preserved layers: immutable application images, PostgreSQL backups/PITR, durable engineering records, and authoritative configuration source." titl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2. ETIS recovery depends on multiple preserved layers: immutable application images, PostgreSQL backups/PITR, durable engineering records, and authoritative configuration source.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16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type="dxa" w:w="3744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Authority / recovery asset</w:t>
            </w:r>
          </w:p>
        </w:tc>
        <w:tc>
          <w:tcPr>
            <w:tcW w:type="dxa" w:w="388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Important constraint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Application</w:t>
            </w:r>
          </w:p>
        </w:tc>
        <w:tc>
          <w:tcPr>
            <w:tcW w:type="dxa" w:w="374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Immutable ACR images tagged by Git commit SHA</w:t>
            </w:r>
          </w:p>
        </w:tc>
        <w:tc>
          <w:tcPr>
            <w:tcW w:type="dxa" w:w="388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Do not rebuild an old commit just to recreate an already-retained rollback image.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Database</w:t>
            </w:r>
          </w:p>
        </w:tc>
        <w:tc>
          <w:tcPr>
            <w:tcW w:type="dxa" w:w="374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Azure PostgreSQL Flexible Server platform backup/PITR</w:t>
            </w:r>
          </w:p>
        </w:tc>
        <w:tc>
          <w:tcPr>
            <w:tcW w:type="dxa" w:w="388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Restore to a temporary server first when proving recovery; validate schema and data before cutover.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Schema</w:t>
            </w:r>
          </w:p>
        </w:tc>
        <w:tc>
          <w:tcPr>
            <w:tcW w:type="dxa" w:w="374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Alembic migration history/head</w:t>
            </w:r>
          </w:p>
        </w:tc>
        <w:tc>
          <w:tcPr>
            <w:tcW w:type="dxa" w:w="388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Do not manually edit schema to force compatibility.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Infrastructure</w:t>
            </w:r>
          </w:p>
        </w:tc>
        <w:tc>
          <w:tcPr>
            <w:tcW w:type="dxa" w:w="374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Bicep under `infra/azure/` plus protected deployment workflow</w:t>
            </w:r>
          </w:p>
        </w:tc>
        <w:tc>
          <w:tcPr>
            <w:tcW w:type="dxa" w:w="388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Portal state is not the long-term source of truth.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Secrets</w:t>
            </w:r>
          </w:p>
        </w:tc>
        <w:tc>
          <w:tcPr>
            <w:tcW w:type="dxa" w:w="374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Key Vault + protected GitHub environment secret provisioning</w:t>
            </w:r>
          </w:p>
        </w:tc>
        <w:tc>
          <w:tcPr>
            <w:tcW w:type="dxa" w:w="388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Never copy secret values into docs/tickets; rotate if exposure is suspected.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Identity/repository</w:t>
            </w:r>
          </w:p>
        </w:tc>
        <w:tc>
          <w:tcPr>
            <w:tcW w:type="dxa" w:w="374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Entra app/callbacks; GitHub OAuth/App configuration</w:t>
            </w:r>
          </w:p>
        </w:tc>
        <w:tc>
          <w:tcPr>
            <w:tcW w:type="dxa" w:w="388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Authentication and GitHub repository authority remain separate boundaries.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Engineering records</w:t>
            </w:r>
          </w:p>
        </w:tc>
        <w:tc>
          <w:tcPr>
            <w:tcW w:type="dxa" w:w="3744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PostgreSQL durable records + frozen evidence provenance</w:t>
            </w:r>
          </w:p>
        </w:tc>
        <w:tc>
          <w:tcPr>
            <w:tcW w:type="dxa" w:w="388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Archive preserves history; recovery must not silently rewrite old evidence/reviews.</w:t>
            </w:r>
          </w:p>
        </w:tc>
      </w:tr>
    </w:tbl>
    <w:p>
      <w:pPr>
        <w:spacing w:after="20"/>
      </w:pPr>
    </w:p>
    <w:p>
      <w:pPr>
        <w:pStyle w:val="Heading1"/>
      </w:pPr>
      <w:r>
        <w:t>2. Recovery objectives and stop conditions</w:t>
      </w:r>
    </w:p>
    <w:p>
      <w:pPr>
        <w:pStyle w:val="ListBullet"/>
        <w:spacing w:after="40"/>
      </w:pPr>
      <w:r>
        <w:t>Primary objective: restore trustworthy course operation without corrupting or rewriting historical engineering records.</w:t>
      </w:r>
    </w:p>
    <w:p>
      <w:pPr>
        <w:pStyle w:val="ListBullet"/>
        <w:spacing w:after="40"/>
      </w:pPr>
      <w:r>
        <w:t>Recovery time is secondary to integrity when the incident involves database/schema uncertainty.</w:t>
      </w:r>
    </w:p>
    <w:p>
      <w:pPr>
        <w:pStyle w:val="ListBullet"/>
        <w:spacing w:after="40"/>
      </w:pPr>
      <w:r>
        <w:t>If the current database may be corrupted, stop normal writes before experimentation.</w:t>
      </w:r>
    </w:p>
    <w:p>
      <w:pPr>
        <w:pStyle w:val="ListBullet"/>
        <w:spacing w:after="40"/>
      </w:pPr>
      <w:r>
        <w:t>If secrets may be exposed, rotate/revoke them as part of recovery; do not merely restore the application.</w:t>
      </w:r>
    </w:p>
    <w:p>
      <w:pPr>
        <w:pStyle w:val="ListBullet"/>
        <w:spacing w:after="40"/>
      </w:pPr>
      <w:r>
        <w:t>If a migration is incompatible with an application rollback, plan database recovery explicitly instead of assuming code rollback is sufficient.</w:t>
      </w:r>
    </w:p>
    <w:p>
      <w:pPr>
        <w:pStyle w:val="Heading1"/>
      </w:pPr>
      <w:r>
        <w:t>3. Pre-incident readiness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Keep known-good Git-SHA application images in ACR.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Keep PostgreSQL backup retention/PITR enabled; accepted baseline is 7 days.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Maintain the protected `production` GitHub environment and authoritative Bicep.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Run post-deployment acceptance after every production change.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Periodically perform a restore drill to a temporary private PostgreSQL server and delete it after validation.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Ensure operators know where alerting, budget, Key Vault, and database restore controls are located.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73598"/>
            <wp:docPr id="3" name="Picture 3" descr="Figure 3. PostgreSQL Flexible Server overview. The production database is the durable system of record; Azure exposes a Restore action for point-in-time recovery." title="Fig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gres_crop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3. PostgreSQL Flexible Server overview. The production database is the durable system of record; Azure exposes a Restore action for point-in-time recovery.</w:t>
      </w:r>
    </w:p>
    <w:p>
      <w:pPr>
        <w:pStyle w:val="Heading1"/>
      </w:pPr>
      <w:r>
        <w:t>4. Recovery decision procedure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Classify the incident as application-only, database/data/schema, secret/configuration, external identity/GitHub, or infrastructure/network.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Freeze or limit writes if data integrity is uncertain.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Capture current revision, database/server state, migration status, incident time window, and the last known-good time.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Choose the smallest recovery path below.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Perform recovery in a way that preserves the original evidence until the new state is validated.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Run technical validation, then full ETIS acceptance, then a human user-path spot-check.</w:t>
      </w:r>
    </w:p>
    <w:p>
      <w:pPr>
        <w:pStyle w:val="Heading1"/>
      </w:pPr>
      <w:r>
        <w:t>5. Application rollback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17040"/>
            <wp:docPr id="4" name="Picture 4" descr="Figure 4. Application rollback redeploys a retained known-good immutable image. It is not a manual traffic switch to an indefinitely retained revision." title="Fig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back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4. Application rollback redeploys a retained known-good immutable image. It is not a manual traffic switch to an indefinitely retained revision.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Identify the last known-good merged Git SHA and corresponding successful Deploy Azure run.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Confirm the immutable ACR image for that SHA still exists.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Confirm the target image is compatible with the current database schema. If not, stop and use a coordinated database recovery plan.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Redeploy the known-good image through the controlled production deployment mechanism or approved recovery path; preserve the SHA provenance.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Verify latest revision and `/ready`.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Run `etis-azure acceptance` and affected-path spot checks.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FF2CC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8A5A00"/>
                <w:sz w:val="18"/>
              </w:rPr>
              <w:t>DO NOT REBUILD HISTORY</w:t>
              <w:br/>
            </w:r>
            <w:r>
              <w:t>If the exact immutable image exists, use it. Rebuilding an old commit later can introduce changed base images/dependencies and is not the same artifact.</w:t>
            </w:r>
          </w:p>
        </w:tc>
      </w:tr>
    </w:tbl>
    <w:p>
      <w:pPr>
        <w:spacing w:after="20"/>
      </w:pPr>
    </w:p>
    <w:p>
      <w:pPr>
        <w:pStyle w:val="Heading1"/>
      </w:pPr>
      <w:r>
        <w:t>6. PostgreSQL point-in-time recovery (PITR)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17040"/>
            <wp:docPr id="5" name="Picture 5" descr="Figure 5. PITR sequence: freeze changes, select a restore point, restore to a temporary server, validate, reconnect/redeploy, and accept." title="Fig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tr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5. PITR sequence: freeze changes, select a restore point, restore to a temporary server, validate, reconnect/redeploy, and accept.</w:t>
      </w:r>
    </w:p>
    <w:p>
      <w:pPr>
        <w:pStyle w:val="Heading2"/>
      </w:pPr>
      <w:r>
        <w:t>6.1 Select the restore point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Establish the incident window and last known-good time using application logs, deployment history, and operator reports.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Choose a restore timestamp before the damaging event while minimizing legitimate data loss.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Record the timestamp and rationale before starting the restore.</w:t>
      </w:r>
    </w:p>
    <w:p>
      <w:pPr>
        <w:pStyle w:val="Heading2"/>
      </w:pPr>
      <w:r>
        <w:t>6.2 Restore to a temporary server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Use Azure PostgreSQL Flexible Server Restore to create a temporary private server at the selected point in time.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Keep the original production server intact while validating the restore.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Ensure restored networking/DNS/private access allows only the intended validation path.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Do not redirect production traffic to the restored server until validation is complete.</w:t>
      </w:r>
    </w:p>
    <w:p>
      <w:pPr>
        <w:pStyle w:val="Heading2"/>
      </w:pPr>
      <w:r>
        <w:t>6.3 Validate restored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592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Validation</w:t>
            </w:r>
          </w:p>
        </w:tc>
        <w:tc>
          <w:tcPr>
            <w:tcW w:type="dxa" w:w="7056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What must be true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Connectivity</w:t>
            </w:r>
          </w:p>
        </w:tc>
        <w:tc>
          <w:tcPr>
            <w:tcW w:type="dxa" w:w="70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Authorized validation client/application can connect through the intended private path.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Alembic</w:t>
            </w:r>
          </w:p>
        </w:tc>
        <w:tc>
          <w:tcPr>
            <w:tcW w:type="dxa" w:w="70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Database revision is understood and compatible with the application image selected for recovery.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Core tables</w:t>
            </w:r>
          </w:p>
        </w:tc>
        <w:tc>
          <w:tcPr>
            <w:tcW w:type="dxa" w:w="70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Course term, sections, enrollments, teams, memberships, evidence snapshots, reviews/turns, findings/dispositions, and AI usage records exist as expected.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Incident boundary</w:t>
            </w:r>
          </w:p>
        </w:tc>
        <w:tc>
          <w:tcPr>
            <w:tcW w:type="dxa" w:w="70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Damaging change is absent; expected pre-incident records are present.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Referential integrity</w:t>
            </w:r>
          </w:p>
        </w:tc>
        <w:tc>
          <w:tcPr>
            <w:tcW w:type="dxa" w:w="70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No obvious orphaning or partial recovery in critical authorization/evidence relationships.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Sample user path</w:t>
            </w:r>
          </w:p>
        </w:tc>
        <w:tc>
          <w:tcPr>
            <w:tcW w:type="dxa" w:w="70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 representative authorized user/team can be resolved against the restored data in a controlled validation environment.</w:t>
            </w:r>
          </w:p>
        </w:tc>
      </w:tr>
    </w:tbl>
    <w:p>
      <w:pPr>
        <w:spacing w:after="20"/>
      </w:pPr>
    </w:p>
    <w:p>
      <w:pPr>
        <w:pStyle w:val="Heading1"/>
      </w:pPr>
      <w:r>
        <w:t>7. Schema/migration incident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If `/ready` reports migration_current=False, first determine whether the migration job failed or the database is at an unexpected revision.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Never run ad-hoc DDL to “match” the app.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If the migration itself caused data/schema damage, choose a restore point before the migration and pair it with a compatible application image.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If a forward fix is safer than rollback, implement it as a reviewed migration on a branch, test it, then deploy through the controlled workflow.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Record the pre/post Alembic revisions and acceptance evidence.</w:t>
      </w:r>
    </w:p>
    <w:p>
      <w:pPr>
        <w:pStyle w:val="Heading1"/>
      </w:pPr>
      <w:r>
        <w:t>8. Secret or Key Vault recovery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Determine whether the secret is missing/misconfigured or actually exposed.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For exposure: revoke/rotate at the provider first (GitHub App key, OAuth secret, Entra secret, OpenAI key, DB admin credential, session secret as appropriate).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Update only the protected provisioning secret path; do not paste values into tickets, chat, screenshots, or documentation.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Redeploy/restart only as required for the application to consume the rotated secret.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Run `smoke` and `acceptance`; for identity/GitHub secrets, perform a human sign-in/repository verification spot-check.</w:t>
      </w:r>
    </w:p>
    <w:p>
      <w:pPr>
        <w:pStyle w:val="Heading1"/>
      </w:pPr>
      <w:r>
        <w:t>9. DNS, TLS, Entra callback, or GitHub callback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592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Symptom</w:t>
            </w:r>
          </w:p>
        </w:tc>
        <w:tc>
          <w:tcPr>
            <w:tcW w:type="dxa" w:w="36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3456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Recovery principle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Custom domain fails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DNS record, Container App custom-domain binding, managed certificate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Restore intended DNS/binding; do not switch users to an undocumented origin.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TLS/certificate error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Managed certificate state and domain validation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Repair certificate/binding; keep HTTPS-only posture.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Entra callback error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ENTRA redirect URI and ETIS_WEB_ORIGIN alignment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Use the canonical https://simulator.etisframework.org/auth/entra/callback.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GitHub OAuth callback error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OAuth App callback and web origin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Restore exact production callback; do not broaden redirect patterns.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GitHub App return flow broken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Setup URL and Redirect on update</w:t>
            </w:r>
          </w:p>
        </w:tc>
        <w:tc>
          <w:tcPr>
            <w:tcW w:type="dxa" w:w="345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Restore /github/setup-complete return path; exact repository verification remains Step 2.</w:t>
            </w:r>
          </w:p>
        </w:tc>
      </w:tr>
    </w:tbl>
    <w:p>
      <w:pPr>
        <w:spacing w:after="20"/>
      </w:pPr>
    </w:p>
    <w:p>
      <w:pPr>
        <w:pStyle w:val="Heading1"/>
      </w:pPr>
      <w:r>
        <w:t>10. Disaster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44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36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Primary recovery path</w:t>
            </w:r>
          </w:p>
        </w:tc>
        <w:tc>
          <w:tcPr>
            <w:tcW w:type="dxa" w:w="360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What must be preserved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Bad application deployment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Known-good immutable image redeploy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Current DB unless incompatibility exists; deployment SHA provenance.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Database corruption/erroneous destructive change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PITR to validated temporary server, then controlled cutover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Original server until validation; restore timestamp/rationale.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Failed/incompatible migration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Application/schema compatibility decision; PITR or reviewed forward migration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Alembic revisions, affected data, deployment history.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Secret compromise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Provider revocation/rotation + protected secret update + redeploy/validation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Incident timeline; never preserve compromised secret in docs.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Container App/runtime misconfiguration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Reconcile with Bicep/source and controlled deployment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Source-of-truth; avoid unmanaged portal-only drift.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GitHub App over-scoped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Reduce to selected repositories; revalidate repository trust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Exact authorized repo boundary; do not retain All repositories.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Semester accidentally archived/authority issue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Treat as data/authorization incident; do not edit DB directly</w:t>
            </w:r>
          </w:p>
        </w:tc>
        <w:tc>
          <w:tcPr>
            <w:tcW w:type="dxa" w:w="360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Lifecycle history and membership events; require authorized controlled correction.</w:t>
            </w:r>
          </w:p>
        </w:tc>
      </w:tr>
    </w:tbl>
    <w:p>
      <w:pPr>
        <w:spacing w:after="20"/>
      </w:pPr>
    </w:p>
    <w:p>
      <w:pPr>
        <w:pStyle w:val="Heading1"/>
      </w:pPr>
      <w:r>
        <w:t>11. Return-to-service acceptance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17040"/>
            <wp:docPr id="6" name="Picture 6" descr="Figure 6. A recovered system returns to service only after technical acceptance and a representative human path check." title="Fig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urn_servi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TISCaption"/>
        <w:jc w:val="center"/>
      </w:pPr>
      <w:r>
        <w:t>Figure 6. A recovered system returns to service only after technical acceptance and a representative human path check.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ETISCode"/>
              <w:spacing w:after="0"/>
            </w:pPr>
            <w:r>
              <w:t>./scripts/azure/etis-azure status</w:t>
            </w:r>
            <w:r>
              <w:br/>
            </w:r>
            <w:r>
              <w:t>./scripts/azure/etis-azure health</w:t>
            </w:r>
            <w:r>
              <w:br/>
            </w:r>
            <w:r>
              <w:t>./scripts/azure/etis-azure smoke</w:t>
            </w:r>
            <w:r>
              <w:br/>
            </w:r>
            <w:r>
              <w:t>./scripts/azure/etis-azure drift</w:t>
            </w:r>
            <w:r>
              <w:br/>
            </w:r>
            <w:r>
              <w:t>./scripts/azure/etis-azure acceptance</w:t>
            </w:r>
          </w:p>
        </w:tc>
      </w:tr>
    </w:tbl>
    <w:p>
      <w:pPr>
        <w:spacing w:after="20"/>
      </w:pPr>
    </w:p>
    <w:p>
      <w:pPr>
        <w:spacing w:after="50"/>
        <w:ind w:left="288" w:hanging="288"/>
      </w:pPr>
      <w:r>
        <w:rPr>
          <w:b/>
        </w:rPr>
        <w:t xml:space="preserve">1. </w:t>
      </w:r>
      <w:r>
        <w:t>Confirm final acceptance is PASS.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Confirm restored/redeployed revision and expected min/max replicas.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Validate the affected identity/GitHub/review path with a representative authorized account.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Confirm archived terms remain read-only and active-term authorization is correct.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Confirm no temporary recovery server, widened permission, debug setting, or exposed secret remains.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Document the recovery outcome and any accepted data-loss window.</w:t>
      </w:r>
    </w:p>
    <w:p>
      <w:pPr>
        <w:pStyle w:val="Heading1"/>
      </w:pPr>
      <w:r>
        <w:t>12. Disaster recovery exercise procedure</w:t>
      </w:r>
    </w:p>
    <w:p>
      <w:pPr>
        <w:spacing w:after="50"/>
        <w:ind w:left="288" w:hanging="288"/>
      </w:pPr>
      <w:r>
        <w:rPr>
          <w:b/>
        </w:rPr>
        <w:t xml:space="preserve">1. </w:t>
      </w:r>
      <w:r>
        <w:t>Schedule the drill outside critical class windows.</w:t>
      </w:r>
    </w:p>
    <w:p>
      <w:pPr>
        <w:spacing w:after="50"/>
        <w:ind w:left="288" w:hanging="288"/>
      </w:pPr>
      <w:r>
        <w:rPr>
          <w:b/>
        </w:rPr>
        <w:t xml:space="preserve">2. </w:t>
      </w:r>
      <w:r>
        <w:t>Record current production revision, database server, Alembic head, and a representative data sample/count.</w:t>
      </w:r>
    </w:p>
    <w:p>
      <w:pPr>
        <w:spacing w:after="50"/>
        <w:ind w:left="288" w:hanging="288"/>
      </w:pPr>
      <w:r>
        <w:rPr>
          <w:b/>
        </w:rPr>
        <w:t xml:space="preserve">3. </w:t>
      </w:r>
      <w:r>
        <w:t>Choose a recent point in time and restore to a temporary private PostgreSQL server.</w:t>
      </w:r>
    </w:p>
    <w:p>
      <w:pPr>
        <w:spacing w:after="50"/>
        <w:ind w:left="288" w:hanging="288"/>
      </w:pPr>
      <w:r>
        <w:rPr>
          <w:b/>
        </w:rPr>
        <w:t xml:space="preserve">4. </w:t>
      </w:r>
      <w:r>
        <w:t>Validate connectivity, Alembic revision, core tables, representative records, and authorization/evidence relationships.</w:t>
      </w:r>
    </w:p>
    <w:p>
      <w:pPr>
        <w:spacing w:after="50"/>
        <w:ind w:left="288" w:hanging="288"/>
      </w:pPr>
      <w:r>
        <w:rPr>
          <w:b/>
        </w:rPr>
        <w:t xml:space="preserve">5. </w:t>
      </w:r>
      <w:r>
        <w:t>Do not switch production traffic during a proof-only drill.</w:t>
      </w:r>
    </w:p>
    <w:p>
      <w:pPr>
        <w:spacing w:after="50"/>
        <w:ind w:left="288" w:hanging="288"/>
      </w:pPr>
      <w:r>
        <w:rPr>
          <w:b/>
        </w:rPr>
        <w:t xml:space="preserve">6. </w:t>
      </w:r>
      <w:r>
        <w:t>Delete the temporary recovery server after evidence is captured and the drill is accepted.</w:t>
      </w:r>
    </w:p>
    <w:p>
      <w:pPr>
        <w:spacing w:after="50"/>
        <w:ind w:left="288" w:hanging="288"/>
      </w:pPr>
      <w:r>
        <w:rPr>
          <w:b/>
        </w:rPr>
        <w:t xml:space="preserve">7. </w:t>
      </w:r>
      <w:r>
        <w:t>Record drill date, operator, restore point, duration, validation results, and lessons/actions.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EAF1F8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287E78"/>
                <w:sz w:val="18"/>
              </w:rPr>
              <w:t>DRILL SUCCESS CRITERION</w:t>
              <w:br/>
            </w:r>
            <w:r>
              <w:t>A DR drill is not successful merely because Azure created a server. Success means the restored database is connectable through the intended private path, its schema is understood, representative ETIS records are intact, and the recovery process is documented/repeatable.</w:t>
            </w:r>
          </w:p>
        </w:tc>
      </w:tr>
    </w:tbl>
    <w:p>
      <w:pPr>
        <w:spacing w:after="20"/>
      </w:pPr>
    </w:p>
    <w:p>
      <w:pPr>
        <w:pStyle w:val="Heading1"/>
      </w:pPr>
      <w:r>
        <w:t>Appendix A. Emergency recovery checklist</w:t>
      </w:r>
    </w:p>
    <w:p>
      <w:pPr>
        <w:pStyle w:val="ListBullet"/>
        <w:spacing w:after="40"/>
      </w:pPr>
      <w:r>
        <w:t>[ ] Incident time window and current revision captured</w:t>
      </w:r>
    </w:p>
    <w:p>
      <w:pPr>
        <w:pStyle w:val="ListBullet"/>
        <w:spacing w:after="40"/>
      </w:pPr>
      <w:r>
        <w:t>[ ] Write activity limited if data integrity is uncertain</w:t>
      </w:r>
    </w:p>
    <w:p>
      <w:pPr>
        <w:pStyle w:val="ListBullet"/>
        <w:spacing w:after="40"/>
      </w:pPr>
      <w:r>
        <w:t>[ ] Recovery path classified</w:t>
      </w:r>
    </w:p>
    <w:p>
      <w:pPr>
        <w:pStyle w:val="ListBullet"/>
        <w:spacing w:after="40"/>
      </w:pPr>
      <w:r>
        <w:t>[ ] Original database/artifact preserved until validation</w:t>
      </w:r>
    </w:p>
    <w:p>
      <w:pPr>
        <w:pStyle w:val="ListBullet"/>
        <w:spacing w:after="40"/>
      </w:pPr>
      <w:r>
        <w:t>[ ] Restore point or known-good SHA recorded</w:t>
      </w:r>
    </w:p>
    <w:p>
      <w:pPr>
        <w:pStyle w:val="ListBullet"/>
        <w:spacing w:after="40"/>
      </w:pPr>
      <w:r>
        <w:t>[ ] Schema/application compatibility checked</w:t>
      </w:r>
    </w:p>
    <w:p>
      <w:pPr>
        <w:pStyle w:val="ListBullet"/>
        <w:spacing w:after="40"/>
      </w:pPr>
      <w:r>
        <w:t>[ ] Restored/redeployed state validated</w:t>
      </w:r>
    </w:p>
    <w:p>
      <w:pPr>
        <w:pStyle w:val="ListBullet"/>
        <w:spacing w:after="40"/>
      </w:pPr>
      <w:r>
        <w:t>[ ] Full ETIS acceptance PASS</w:t>
      </w:r>
    </w:p>
    <w:p>
      <w:pPr>
        <w:pStyle w:val="ListBullet"/>
        <w:spacing w:after="40"/>
      </w:pPr>
      <w:r>
        <w:t>[ ] Human affected-path check PASS</w:t>
      </w:r>
    </w:p>
    <w:p>
      <w:pPr>
        <w:pStyle w:val="ListBullet"/>
        <w:spacing w:after="40"/>
      </w:pPr>
      <w:r>
        <w:t>[ ] Temporary resources/overrides removed</w:t>
      </w:r>
    </w:p>
    <w:p>
      <w:pPr>
        <w:pStyle w:val="ListBullet"/>
        <w:spacing w:after="40"/>
      </w:pPr>
      <w:r>
        <w:t>[ ] Recovery record completed</w:t>
      </w:r>
    </w:p>
    <w:p>
      <w:pPr>
        <w:pStyle w:val="Heading1"/>
      </w:pPr>
      <w:r>
        <w:t>Appendix B. Recovery evidence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3168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6480"/>
            <w:shd w:fill="122536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Incident ID/date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Operator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Failure boundary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Current/bad revision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Known-good revision/image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Database restore point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Original DB preserved?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Alembic revision before/after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Expected/accepted data-loss window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Acceptance result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Human path validated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Temporary resources deleted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>
              <w:t>Follow-up actions</w:t>
            </w:r>
          </w:p>
        </w:tc>
        <w:tc>
          <w:tcPr>
            <w:tcW w:type="dxa" w:w="6480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r/>
          </w:p>
        </w:tc>
      </w:tr>
    </w:tbl>
    <w:p>
      <w:pPr>
        <w:spacing w:after="20"/>
      </w:pPr>
    </w:p>
    <w:p>
      <w:pPr>
        <w:pStyle w:val="Heading1"/>
      </w:pPr>
      <w:r>
        <w:t>Appendix C. Records that must survive normal archive/recovery</w:t>
      </w:r>
    </w:p>
    <w:p>
      <w:pPr>
        <w:pStyle w:val="ListBullet"/>
        <w:spacing w:after="40"/>
      </w:pPr>
      <w:r>
        <w:t>Course terms/sections and lifecycle state.</w:t>
      </w:r>
    </w:p>
    <w:p>
      <w:pPr>
        <w:pStyle w:val="ListBullet"/>
        <w:spacing w:after="40"/>
      </w:pPr>
      <w:r>
        <w:t>Enrollments and team membership/history.</w:t>
      </w:r>
    </w:p>
    <w:p>
      <w:pPr>
        <w:pStyle w:val="ListBullet"/>
        <w:spacing w:after="40"/>
      </w:pPr>
      <w:r>
        <w:t>Frozen evidence snapshots and provenance.</w:t>
      </w:r>
    </w:p>
    <w:p>
      <w:pPr>
        <w:pStyle w:val="ListBullet"/>
        <w:spacing w:after="40"/>
      </w:pPr>
      <w:r>
        <w:t>Review sessions and persisted turns.</w:t>
      </w:r>
    </w:p>
    <w:p>
      <w:pPr>
        <w:pStyle w:val="ListBullet"/>
        <w:spacing w:after="40"/>
      </w:pPr>
      <w:r>
        <w:t>Findings, corrections, dispositions, disputes, and recommendations.</w:t>
      </w:r>
    </w:p>
    <w:p>
      <w:pPr>
        <w:pStyle w:val="ListBullet"/>
        <w:spacing w:after="40"/>
      </w:pPr>
      <w:r>
        <w:t>Membership events and repository trust state/history as implemented.</w:t>
      </w:r>
    </w:p>
    <w:p>
      <w:pPr>
        <w:pStyle w:val="ListBullet"/>
        <w:spacing w:after="40"/>
      </w:pPr>
      <w:r>
        <w:t>AI usage records required for operational/audit history.</w:t>
      </w:r>
    </w:p>
    <w:p>
      <w:pPr>
        <w:pStyle w:val="Heading1"/>
      </w:pPr>
      <w:r>
        <w:t>Appendix D. Repository recovery tooling</w:t>
      </w:r>
    </w:p>
    <w:p>
      <w:r>
        <w:t>The repository includes a PostgreSQL backup/restore verification helper used for controlled recovery proof. Run it only in the documented/test context and review the script before pointing it at any environment: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rPr>
          <w:cantSplit/>
          <w:tblHeader/>
        </w:trPr>
        <w:tc>
          <w:tcPr>
            <w:tcW w:type="dxa" w:w="10166"/>
            <w:shd w:fill="F3F5F7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pStyle w:val="ETISCode"/>
            </w:pPr>
            <w:r>
              <w:t>./scripts/verify_postgres_backup_restore.sh</w:t>
            </w:r>
          </w:p>
        </w:tc>
      </w:tr>
    </w:tbl>
    <w:p>
      <w:r>
        <w:t>The existence of the script does not authorize an ad-hoc production restore. Production recovery still requires an explicit restore point, preservation of the original database until validation, schema/data verification, and final production acceptance.</w:t>
      </w:r>
    </w:p>
    <w:sectPr>
      <w:headerReference w:type="default" r:id="rId9"/>
      <w:footerReference w:type="default" r:id="rId10"/>
      <w:pgSz w:w="12240" w:h="15840"/>
      <w:pgMar w:top="979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372"/>
        <w:sz w:val="16"/>
      </w:rPr>
      <w:t xml:space="preserve">ETIS Engineering Studio  •  Backup / Recovery / DR  •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"/>
          <w:shd w:fill="0B1722"/>
        </w:tcPr>
        <w:p>
          <w:pPr>
            <w:jc w:val="center"/>
          </w:pPr>
          <w:r>
            <w:rPr>
              <w:b/>
              <w:color w:val="5CCEC5"/>
              <w:sz w:val="26"/>
            </w:rPr>
            <w:t>E</w:t>
          </w:r>
        </w:p>
      </w:tc>
      <w:tc>
        <w:tcPr>
          <w:tcW w:type="dxa" w:w="9245"/>
          <w:shd w:fill="0B1722"/>
        </w:tcPr>
        <w:p>
          <w:r>
            <w:rPr>
              <w:b/>
              <w:color w:val="FFFFFF"/>
              <w:sz w:val="17"/>
            </w:rPr>
            <w:t>ETIS ENGINEERING STUDIO  |  BACKUP, RECOVERY &amp; DISASTER RECOVERY RUNBOOK</w:t>
          </w:r>
        </w:p>
      </w:tc>
      <w:trPr>
        <w:tblHeader/>
      </w:trPr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7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70"/>
      <w:outlineLvl w:val="1"/>
    </w:pPr>
    <w:rPr>
      <w:rFonts w:asciiTheme="majorHAnsi" w:eastAsiaTheme="majorEastAsia" w:hAnsiTheme="majorHAnsi" w:cstheme="majorBidi" w:ascii="Arial" w:hAnsi="Arial"/>
      <w:b/>
      <w:bCs/>
      <w:color w:val="287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7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70" w:line="240" w:lineRule="auto" w:before="100"/>
      <w:contextualSpacing/>
    </w:pPr>
    <w:rPr>
      <w:rFonts w:asciiTheme="majorHAnsi" w:eastAsiaTheme="majorEastAsia" w:hAnsiTheme="majorHAnsi" w:cstheme="majorBidi" w:ascii="Arial" w:hAnsi="Arial"/>
      <w:b/>
      <w:color w:val="0B1722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80" w:after="70"/>
    </w:pPr>
    <w:rPr>
      <w:rFonts w:asciiTheme="majorHAnsi" w:eastAsiaTheme="majorEastAsia" w:hAnsiTheme="majorHAnsi" w:cstheme="majorBidi" w:ascii="Arial" w:hAnsi="Arial"/>
      <w:b/>
      <w:i/>
      <w:iCs/>
      <w:color w:val="556372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ISCaption">
    <w:name w:val="ETIS Caption"/>
    <w:pPr>
      <w:spacing w:after="140"/>
    </w:pPr>
    <w:rPr>
      <w:rFonts w:ascii="Arial" w:hAnsi="Arial"/>
      <w:i/>
      <w:color w:val="556372"/>
      <w:sz w:val="16"/>
    </w:rPr>
  </w:style>
  <w:style w:type="paragraph" w:customStyle="1" w:styleId="ETISCode">
    <w:name w:val="ETIS Code"/>
    <w:pPr>
      <w:spacing w:after="40"/>
      <w:ind w:left="259" w:right="173"/>
    </w:pPr>
    <w:rPr>
      <w:rFonts w:ascii="Courier New" w:hAnsi="Courier New"/>
      <w:color w:val="1F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