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Times New Roman" w:hAnsi="Times New Roman" w:eastAsia="Times New Roman" w:cs="Times New Roman"/>
          <w:b/>
          <w:bCs/>
          <w:sz w:val="28"/>
          <w:szCs w:val="28"/>
        </w:rPr>
        <w:t xml:space="preserve">Resultados</w:t>
      </w:r>
    </w:p>
    <w:p>
      <w:pPr>
        <w:spacing w:before="300" w:after="160"/>
      </w:pPr>
      <w:r>
        <w:rPr>
          <w:rFonts w:ascii="Times New Roman" w:hAnsi="Times New Roman" w:eastAsia="Times New Roman" w:cs="Times New Roman"/>
          <w:b/>
          <w:bCs/>
          <w:i/>
          <w:iCs/>
          <w:sz w:val="24"/>
          <w:szCs w:val="24"/>
        </w:rPr>
        <w:t xml:space="preserve">Reducción de la dimensionalidad y selección del número óptimo de clústeres</w:t>
      </w:r>
    </w:p>
    <w:p>
      <w:pPr>
        <w:spacing w:after="200" w:line="360"/>
        <w:jc w:val="both"/>
      </w:pPr>
      <w:r>
        <w:rPr>
          <w:rFonts w:ascii="Times New Roman" w:hAnsi="Times New Roman" w:eastAsia="Times New Roman" w:cs="Times New Roman"/>
          <w:sz w:val="24"/>
          <w:szCs w:val="24"/>
        </w:rPr>
        <w:t xml:space="preserve">El análisis de componentes principales (PCA) aplicado a la matriz institucional escalada de 26 variables —construida a partir de los registros administrativos de SUNEDU y CONCYTEC CTI Vitae correspondientes a 99 instituciones de educación superior (IES) activas en el semestre 2025-I— arrojó una solución de 15 componentes que retiene el 90,7 % de la varianza total (Fig. 1a, 1c). Los dos primeros componentes principales representaron el 15,6 % (PC1) y el 12,0 % (PC2) de la varianza, respectivamente, y el biplot PC1-PC2 (Fig. 1b) revela una amplia dispersión institucional a lo largo de dimensiones asociadas principalmente al régimen de contratación del profesorado y a la integración del sistema de investigación. Las instituciones privadas se agrupan en torno a valores positivos de PC1, lo que refleja una mayor proporción de personal docente contratado y modelos de funcionamiento basados en la matriculación, mientras que las instituciones públicas se concentran en torno a valores negativos de PC1, en consonancia con unas condiciones de empleo más estables pero con recursos limitados. Estos patrones confirman la presencia de una estructura multidimensional sustantiva que justifica una clasificación no supervisada.</w:t>
      </w:r>
    </w:p>
    <w:p>
      <w:pPr>
        <w:spacing w:after="200" w:line="360"/>
        <w:jc w:val="both"/>
      </w:pPr>
      <w:r>
        <w:rPr>
          <w:rFonts w:ascii="Times New Roman" w:hAnsi="Times New Roman" w:eastAsia="Times New Roman" w:cs="Times New Roman"/>
          <w:sz w:val="24"/>
          <w:szCs w:val="24"/>
        </w:rPr>
        <w:t xml:space="preserve">Se aplicaron tres criterios complementarios para determinar el número óptimo de clústeres. El método del codo —basado en la suma de cuadrados intraclúster— identificó una inflexión pronunciada en k = 4 (Fig. 2a), lo que indica que los clústeres adicionales más allá de ese punto producen ganancias decrecientes en la compacidad intragrupal. La curva de anchura media de la silueta alcanzó formalmente su máximo en k = 7, aunque la mejora con respecto a la solución k = 4 fue insignificante (Δ = 0,0006), sin ofrecer una ganancia sustancial en la cohesión de los clústeres (Fig. 2b). La estadística de la brecha sugirió k = 2 como un límite inferior conservador (Fig. 2c), adecuado para detectar una bimodalidad burda, pero insuficiente para captar la heterogeneidad institucional observada en la educación superior peruana. Equilibrando la parsimonia estadística con la interpretabilidad analítica de las políticas, se mantuvo k = 4 como la partición óptima, en consonancia con el criterio del codo y con el requisito de que cada clúster corresponda a un tipo institucional teóricamente coherente y empíricamente distinguible.</w:t>
      </w:r>
    </w:p>
    <w:p>
      <w:pPr>
        <w:spacing w:before="300" w:after="160"/>
      </w:pPr>
      <w:r>
        <w:rPr>
          <w:rFonts w:ascii="Times New Roman" w:hAnsi="Times New Roman" w:eastAsia="Times New Roman" w:cs="Times New Roman"/>
          <w:b/>
          <w:bCs/>
          <w:i/>
          <w:iCs/>
          <w:sz w:val="24"/>
          <w:szCs w:val="24"/>
        </w:rPr>
        <w:t xml:space="preserve">Cuatro perfiles institucionales de las instituciones de educación superior peruanas</w:t>
      </w:r>
    </w:p>
    <w:p>
      <w:pPr>
        <w:spacing w:after="200" w:line="360"/>
        <w:jc w:val="both"/>
      </w:pPr>
      <w:r>
        <w:rPr>
          <w:rFonts w:ascii="Times New Roman" w:hAnsi="Times New Roman" w:eastAsia="Times New Roman" w:cs="Times New Roman"/>
          <w:sz w:val="24"/>
          <w:szCs w:val="24"/>
        </w:rPr>
        <w:t xml:space="preserve">La agrupación jerárquica de Ward aplicada en el espacio PCA de 15 dimensiones produjo cuatro grupos claramente diferenciados, confirmados por el corte del dendrograma en k = 4 (Fig. 3a). La partición K-Means en el espacio PCA (Fig. 3b) arrojó resultados en gran medida concordantes, con un índice de Rand ajustado (ARI) de 0,757 en relación con la solución de Ward, lo que confirma que la estructura de cuatro clústeres es robusta en diferentes implementaciones algorítmicas. La agrupación basada en la densidad DBSCAN identificó un único clúster dominante que abarcaba 94 instituciones, con cinco instituciones marcadas como puntos de ruido, lo que corrobora aún más que la estructura global no es un artefacto. Los perfiles de radar de los valores normalizados de los indicadores (Fig. 4a) y el mapa de calor de características estandarizadas (Fig. 4b) caracterizan cada clúster a lo largo de las dimensiones institucionales principales; la Tabla 1 presenta las estadísticas descriptivas completas por clúster.</w:t>
      </w:r>
    </w:p>
    <w:p>
      <w:pPr>
        <w:spacing w:after="200" w:line="360"/>
        <w:jc w:val="both"/>
      </w:pPr>
      <w:r>
        <w:rPr>
          <w:rFonts w:ascii="Times New Roman" w:hAnsi="Times New Roman" w:eastAsia="Times New Roman" w:cs="Times New Roman"/>
          <w:sz w:val="24"/>
          <w:szCs w:val="24"/>
        </w:rPr>
        <w:t xml:space="preserve">El clúster 1 </w:t>
      </w:r>
      <w:r>
        <w:rPr>
          <w:rFonts w:ascii="Times New Roman" w:hAnsi="Times New Roman" w:eastAsia="Times New Roman" w:cs="Times New Roman"/>
          <w:i/>
          <w:iCs/>
          <w:sz w:val="24"/>
          <w:szCs w:val="24"/>
        </w:rPr>
        <w:t xml:space="preserve">—Universidades públicas estabilizadas </w:t>
      </w:r>
      <w:r>
        <w:rPr>
          <w:rFonts w:ascii="Times New Roman" w:hAnsi="Times New Roman" w:eastAsia="Times New Roman" w:cs="Times New Roman"/>
          <w:sz w:val="24"/>
          <w:szCs w:val="24"/>
        </w:rPr>
        <w:t xml:space="preserve">(C1; n = 37; 33 públicas, 4 privadas)— </w:t>
      </w:r>
      <w:r>
        <w:rPr>
          <w:rFonts w:ascii="Times New Roman" w:hAnsi="Times New Roman" w:eastAsia="Times New Roman" w:cs="Times New Roman"/>
          <w:sz w:val="24"/>
          <w:szCs w:val="24"/>
        </w:rPr>
        <w:t xml:space="preserve">se define por unas condiciones de empleo estables y una gobernanza del profesorado institucionalizada. Una media del 65,7 % del personal docente ocupa </w:t>
      </w:r>
      <w:r>
        <w:rPr>
          <w:rFonts w:ascii="Times New Roman" w:hAnsi="Times New Roman" w:eastAsia="Times New Roman" w:cs="Times New Roman"/>
          <w:sz w:val="24"/>
          <w:szCs w:val="24"/>
        </w:rPr>
        <w:t xml:space="preserve">puestos </w:t>
      </w:r>
      <w:r>
        <w:rPr>
          <w:rFonts w:ascii="Times New Roman" w:hAnsi="Times New Roman" w:eastAsia="Times New Roman" w:cs="Times New Roman"/>
          <w:sz w:val="24"/>
          <w:szCs w:val="24"/>
        </w:rPr>
        <w:t xml:space="preserve">permanentes (</w:t>
      </w:r>
      <w:r>
        <w:rPr>
          <w:rFonts w:ascii="Times New Roman" w:hAnsi="Times New Roman" w:eastAsia="Times New Roman" w:cs="Times New Roman"/>
          <w:i/>
          <w:iCs/>
          <w:sz w:val="24"/>
          <w:szCs w:val="24"/>
        </w:rPr>
        <w:t xml:space="preserve">ordinarios</w:t>
      </w:r>
      <w:r>
        <w:rPr>
          <w:rFonts w:ascii="Times New Roman" w:hAnsi="Times New Roman" w:eastAsia="Times New Roman" w:cs="Times New Roman"/>
          <w:sz w:val="24"/>
          <w:szCs w:val="24"/>
        </w:rPr>
        <w:t xml:space="preserve">), y el 17,7 % opera bajo regímenes de dedicación exclusiva, la proporción más alta entre todos los clústeres. Las instituciones cuentan con una media de 35,1 investigadores registrados en la RENACYT, lo que refleja una participación moderada pero consolidada en el sistema nacional de investigación (CONCYTEC). Este grupo comprende la gran mayoría de las universidades públicas históricamente consolidadas, distribuidas por las capitales regionales del Perú, y representa un sector con relativa seguridad laboral, pero con capacidad limitada para ampliar la producción investigadora debido a las restricciones presupuestarias existentes.</w:t>
      </w:r>
    </w:p>
    <w:p>
      <w:pPr>
        <w:spacing w:after="200" w:line="360"/>
        <w:jc w:val="both"/>
      </w:pPr>
      <w:r>
        <w:rPr>
          <w:rFonts w:ascii="Times New Roman" w:hAnsi="Times New Roman" w:eastAsia="Times New Roman" w:cs="Times New Roman"/>
          <w:sz w:val="24"/>
          <w:szCs w:val="24"/>
        </w:rPr>
        <w:t xml:space="preserve">El grupo 2 </w:t>
      </w:r>
      <w:r>
        <w:rPr>
          <w:rFonts w:ascii="Times New Roman" w:hAnsi="Times New Roman" w:eastAsia="Times New Roman" w:cs="Times New Roman"/>
          <w:i/>
          <w:iCs/>
          <w:sz w:val="24"/>
          <w:szCs w:val="24"/>
        </w:rPr>
        <w:t xml:space="preserve">—Escuelas de posgrado especializadas </w:t>
      </w:r>
      <w:r>
        <w:rPr>
          <w:rFonts w:ascii="Times New Roman" w:hAnsi="Times New Roman" w:eastAsia="Times New Roman" w:cs="Times New Roman"/>
          <w:sz w:val="24"/>
          <w:szCs w:val="24"/>
        </w:rPr>
        <w:t xml:space="preserve">(C2; n = 3; 1 pública, 2 privadas)— </w:t>
      </w:r>
      <w:r>
        <w:rPr>
          <w:rFonts w:ascii="Times New Roman" w:hAnsi="Times New Roman" w:eastAsia="Times New Roman" w:cs="Times New Roman"/>
          <w:sz w:val="24"/>
          <w:szCs w:val="24"/>
        </w:rPr>
        <w:t xml:space="preserve">es el grupo más pequeño y estructuralmente más distintivo, y abarca tres instituciones cuya misión educativa se limita a la formación de posgrado. Las tres ofrecen exclusivamente programas de máster, con una ratio de alumnos por profesor de 13:1 —la más baja de la muestra—, lo que refleja una alta intensidad docente y un alcance programático limitado. El perfil de radar del C2 (Fig. 4a) es notablemente estrecho en la mayoría de los indicadores, lo cual es analíticamente previsible dada la ausencia de matriculación de grado. El posicionamiento distintivo de estas instituciones en el margen superior del eje PC2 (Fig. 3b) confirma su condición de valores atípicos en relación con el panorama nacional más amplio de las IES, y su separación sustancial de C1 en la dimensión de doctores en el cuerpo docente subraya su lógica institucional única.</w:t>
      </w:r>
    </w:p>
    <w:p>
      <w:pPr>
        <w:spacing w:after="200" w:line="360"/>
        <w:jc w:val="both"/>
      </w:pPr>
      <w:r>
        <w:rPr>
          <w:rFonts w:ascii="Times New Roman" w:hAnsi="Times New Roman" w:eastAsia="Times New Roman" w:cs="Times New Roman"/>
          <w:sz w:val="24"/>
          <w:szCs w:val="24"/>
        </w:rPr>
        <w:t xml:space="preserve">El grupo 3 </w:t>
      </w:r>
      <w:r>
        <w:rPr>
          <w:rFonts w:ascii="Times New Roman" w:hAnsi="Times New Roman" w:eastAsia="Times New Roman" w:cs="Times New Roman"/>
          <w:i/>
          <w:iCs/>
          <w:sz w:val="24"/>
          <w:szCs w:val="24"/>
        </w:rPr>
        <w:t xml:space="preserve">—Universidades privadas masivas y flexibles </w:t>
      </w:r>
      <w:r>
        <w:rPr>
          <w:rFonts w:ascii="Times New Roman" w:hAnsi="Times New Roman" w:eastAsia="Times New Roman" w:cs="Times New Roman"/>
          <w:sz w:val="24"/>
          <w:szCs w:val="24"/>
        </w:rPr>
        <w:t xml:space="preserve">(C3; n = 52; 6 públicas, 46 privadas)— </w:t>
      </w:r>
      <w:r>
        <w:rPr>
          <w:rFonts w:ascii="Times New Roman" w:hAnsi="Times New Roman" w:eastAsia="Times New Roman" w:cs="Times New Roman"/>
          <w:sz w:val="24"/>
          <w:szCs w:val="24"/>
        </w:rPr>
        <w:t xml:space="preserve">es el grupo más numeroso y abarca el segmento dominante de la educación superior privada orientada al mercado en Perú. La característica definitoria de este grupo es la elevada precariedad del profesorado: de media, el 81,1 % del personal docente ocupa </w:t>
      </w:r>
      <w:r>
        <w:rPr>
          <w:rFonts w:ascii="Times New Roman" w:hAnsi="Times New Roman" w:eastAsia="Times New Roman" w:cs="Times New Roman"/>
          <w:sz w:val="24"/>
          <w:szCs w:val="24"/>
        </w:rPr>
        <w:t xml:space="preserve">puestos </w:t>
      </w:r>
      <w:r>
        <w:rPr>
          <w:rFonts w:ascii="Times New Roman" w:hAnsi="Times New Roman" w:eastAsia="Times New Roman" w:cs="Times New Roman"/>
          <w:i/>
          <w:iCs/>
          <w:sz w:val="24"/>
          <w:szCs w:val="24"/>
        </w:rPr>
        <w:t xml:space="preserve">contratados</w:t>
      </w:r>
      <w:r>
        <w:rPr>
          <w:rFonts w:ascii="Times New Roman" w:hAnsi="Times New Roman" w:eastAsia="Times New Roman" w:cs="Times New Roman"/>
          <w:sz w:val="24"/>
          <w:szCs w:val="24"/>
        </w:rPr>
        <w:t xml:space="preserve">, lo que indica relaciones laborales predominantemente a tiempo parcial y sin titularidad. A pesar de esta precariedad estructural, las instituciones del C3 presentan la puntuación media más alta en rendimiento académico de los graduados de la muestra (GPA = 15,28 en una escala de 20 puntos), un hallazgo que cuestiona los supuestos convencionales que asocian la calidad del empleo del profesorado con los resultados de aprendizaje de los estudiantes, y que examinamos en detalle en la Discusión. La densidad de investigadores RENACYT es de 52,4 por institución —superior en términos absolutos a la del C1—, aunque se concentra en un puñado de universidades privadas de mayor tamaño en lugar de distribuirse por todo el grupo. Las instituciones del C3 se concentran de manera desproporcionada en Lima y en ciudades secundarias, en consonancia con las estrategias de maximización de la matriculación dirigidas a los mercados laborales urbanos.</w:t>
      </w:r>
    </w:p>
    <w:p>
      <w:pPr>
        <w:spacing w:after="200" w:line="360"/>
        <w:jc w:val="both"/>
      </w:pPr>
      <w:r>
        <w:rPr>
          <w:rFonts w:ascii="Times New Roman" w:hAnsi="Times New Roman" w:eastAsia="Times New Roman" w:cs="Times New Roman"/>
          <w:sz w:val="24"/>
          <w:szCs w:val="24"/>
        </w:rPr>
        <w:t xml:space="preserve">El grupo 4 </w:t>
      </w:r>
      <w:r>
        <w:rPr>
          <w:rFonts w:ascii="Times New Roman" w:hAnsi="Times New Roman" w:eastAsia="Times New Roman" w:cs="Times New Roman"/>
          <w:i/>
          <w:iCs/>
          <w:sz w:val="24"/>
          <w:szCs w:val="24"/>
        </w:rPr>
        <w:t xml:space="preserve">—Instituciones regionales en desarrollo </w:t>
      </w:r>
      <w:r>
        <w:rPr>
          <w:rFonts w:ascii="Times New Roman" w:hAnsi="Times New Roman" w:eastAsia="Times New Roman" w:cs="Times New Roman"/>
          <w:sz w:val="24"/>
          <w:szCs w:val="24"/>
        </w:rPr>
        <w:t xml:space="preserve">(C4; n = 7; todas públicas)— </w:t>
      </w:r>
      <w:r>
        <w:rPr>
          <w:rFonts w:ascii="Times New Roman" w:hAnsi="Times New Roman" w:eastAsia="Times New Roman" w:cs="Times New Roman"/>
          <w:sz w:val="24"/>
          <w:szCs w:val="24"/>
        </w:rPr>
        <w:t xml:space="preserve">comprende el sector más marginado institucionalmente del sistema de IES peruanas. Ninguna de las siete instituciones de este grupo cuenta con una licencia institucional activa de la SUNEDU (es decir, un 0 % de cumplimiento en materia de licencias), ninguna tiene ningún investigador registrado en el RENACYT (puntuación RENACYT = 0) y todas están ubicadas fuera de Lima, en departamentos periféricos. El perfil de radar del C4 (Fig. 4a) se inclina fuertemente hacia la </w:t>
      </w:r>
      <w:r>
        <w:rPr>
          <w:rFonts w:ascii="Times New Roman" w:hAnsi="Times New Roman" w:eastAsia="Times New Roman" w:cs="Times New Roman"/>
          <w:sz w:val="24"/>
          <w:szCs w:val="24"/>
        </w:rPr>
        <w:t xml:space="preserve">dimensión </w:t>
      </w:r>
      <w:r>
        <w:rPr>
          <w:rFonts w:ascii="Times New Roman" w:hAnsi="Times New Roman" w:eastAsia="Times New Roman" w:cs="Times New Roman"/>
          <w:sz w:val="24"/>
          <w:szCs w:val="24"/>
        </w:rPr>
        <w:t xml:space="preserve">de inclusión de estudiantes con discapacidad (</w:t>
      </w:r>
      <w:r>
        <w:rPr>
          <w:rFonts w:ascii="Times New Roman" w:hAnsi="Times New Roman" w:eastAsia="Times New Roman" w:cs="Times New Roman"/>
          <w:i/>
          <w:iCs/>
          <w:sz w:val="24"/>
          <w:szCs w:val="24"/>
        </w:rPr>
        <w:t xml:space="preserve">discap</w:t>
      </w:r>
      <w:r>
        <w:rPr>
          <w:rFonts w:ascii="Times New Roman" w:hAnsi="Times New Roman" w:eastAsia="Times New Roman" w:cs="Times New Roman"/>
          <w:sz w:val="24"/>
          <w:szCs w:val="24"/>
        </w:rPr>
        <w:t xml:space="preserve">), lo que sugiere que estas instituciones atienden a poblaciones con mayor vulnerabilidad socioeconómica. Las comparaciones de diagramas de caja (Fig. 4c) confirman que el clúster C4 se diferencia significativamente de todos los demás clústeres en los indicadores de investigación y garantía de calidad, al tiempo que presenta la matriculación relativa más alta en las categorías de discapacidad entre los cuatro perfiles. Este clúster representa una brecha estructural en la gobernanza de la educación superior peruana: instituciones que operan al margen del marco regulatorio formal sin la infraestructura de investigación ni el estatus de acreditación típicos de las universidades públicas consolidadas.</w:t>
      </w:r>
    </w:p>
    <w:p>
      <w:pPr>
        <w:spacing w:before="300" w:after="160"/>
      </w:pPr>
      <w:r>
        <w:rPr>
          <w:rFonts w:ascii="Times New Roman" w:hAnsi="Times New Roman" w:eastAsia="Times New Roman" w:cs="Times New Roman"/>
          <w:b/>
          <w:bCs/>
          <w:i/>
          <w:iCs/>
          <w:sz w:val="24"/>
          <w:szCs w:val="24"/>
        </w:rPr>
        <w:t xml:space="preserve">Validación estadística de la solución de agrupaciones</w:t>
      </w:r>
    </w:p>
    <w:p>
      <w:pPr>
        <w:spacing w:after="200" w:line="360"/>
        <w:jc w:val="both"/>
      </w:pPr>
      <w:r>
        <w:rPr>
          <w:rFonts w:ascii="Times New Roman" w:hAnsi="Times New Roman" w:eastAsia="Times New Roman" w:cs="Times New Roman"/>
          <w:sz w:val="24"/>
          <w:szCs w:val="24"/>
        </w:rPr>
        <w:t xml:space="preserve">Las pruebas no paramétricas de Kruskal-Wallis confirmaron diferencias estadísticamente significativas entre los grupos en 22 de los 25 indicadores institucionales examinados (p &lt; 0,001 para todas las comparaciones significativas; Tabla 2). Las pruebas por pares post hoc de Dunn identificaron contrastes específicos entre clústeres, lo que confirma que la solución de cuatro clústeres capta una variación sustancialmente significativa en las tres dimensiones analíticamente centrales del estudio: (1) el régimen de contratación del profesorado, operacionalizado a través de las proporciones de personal permanente, contratado y en dedicación exclusiva; (2) la integración del sistema de investigación, captada por los indicadores de densidad de investigadores y productividad investigadora del RENACYT; y (3) los resultados de rendimiento académico, medidos por la nota media de los graduados y las tasas de finalización de los programas. Solo tres variables —que reflejan principalmente los índices de inclusión de personas con discapacidad y las proporciones de personal administrativo— no alcanzaron significación estadística entre los clústeres, lo que indica que estas dimensiones son relativamente uniformes entre los tipos de instituciones dentro del entorno normativo actual.</w:t>
      </w:r>
    </w:p>
    <w:p>
      <w:pPr>
        <w:spacing w:after="200" w:line="360"/>
        <w:jc w:val="both"/>
      </w:pPr>
      <w:r>
        <w:rPr>
          <w:rFonts w:ascii="Times New Roman" w:hAnsi="Times New Roman" w:eastAsia="Times New Roman" w:cs="Times New Roman"/>
          <w:sz w:val="24"/>
          <w:szCs w:val="24"/>
        </w:rPr>
        <w:t xml:space="preserve">El mapa de calor de las medias estandarizadas de los clústeres (Fig. 4b) ofrece una visualización sintética de estas diferencias. Los cuatro clústeres se distinguen claramente a lo largo del eje horizontal por sus perfiles de contratación del profesorado y a lo largo del eje vertical por sus indicadores de investigación y rendimiento, mostrando C1 y C2 patrones marcadamente diferentes de C3 y C4. Esta configuración es coherente con un sistema organizado en torno a dos ejes principales de estratificación: la división entre la gobernanza pública y privada (reflejada en las proporciones de personal docente fijo frente a contratado) y la división entre las instituciones activas en investigación y las que carecen de ella (reflejada en la densidad RENACYT y las proporciones de personal docente con doctorado). En conjunto, la validación estadística confirma que los perfiles identificados representan configuraciones institucionales estructuralmente coherentes y empíricamente distintas, más que artefactos del algoritmo de agrupación.</w:t>
      </w:r>
    </w:p>
    <w:p>
      <w:pPr>
        <w:pBdr>
          <w:top w:val="single" w:color="AAAAAA" w:sz="4"/>
          <w:bottom w:val="single" w:color="AAAAAA" w:sz="4"/>
          <w:left w:val="single" w:color="AAAAAA" w:sz="4"/>
          <w:right w:val="single" w:color="AAAAAA" w:sz="4"/>
        </w:pBdr>
        <w:shd w:val="clear" w:fill="F5F5F5"/>
        <w:spacing w:before="120" w:after="120"/>
        <w:jc w:val="center"/>
      </w:pPr>
      <w:r>
        <w:rPr>
          <w:rFonts w:ascii="Times New Roman" w:hAnsi="Times New Roman" w:eastAsia="Times New Roman" w:cs="Times New Roman"/>
          <w:i/>
          <w:iCs/>
          <w:color w:val="888888"/>
          <w:sz w:val="24"/>
          <w:szCs w:val="24"/>
        </w:rPr>
        <w:t xml:space="preserve">[INSERTAR TABLA 1 AQUÍ — Estadísticas descriptivas por clúster (media ± DE para los indicadores clave)]</w:t>
      </w:r>
    </w:p>
    <w:p>
      <w:pPr>
        <w:spacing w:before="100" w:after="240"/>
        <w:jc w:val="both"/>
      </w:pPr>
      <w:r>
        <w:rPr>
          <w:rFonts w:ascii="Times New Roman" w:hAnsi="Times New Roman" w:eastAsia="Times New Roman" w:cs="Times New Roman"/>
          <w:i/>
          <w:iCs/>
          <w:sz w:val="22"/>
          <w:szCs w:val="22"/>
        </w:rPr>
        <w:t xml:space="preserve">Tabla 1. Estadísticas descriptivas de los cuatro clústeres institucionales identificados mediante el método de agrupamiento K-Means en el espacio PCA. Los valores representan medias (desviaciones estándar) para indicadores seleccionados extraídos de los registros administrativos de SUNEDU (semestre I de 2025) y del CTI Vitae de CONCYTEC (2025). RENACYT: Registro de Investigadores del Sistema Nacional de Ciencia, Tecnología e Innovación Tecnológica. GPA: índice de rendimiento académico de posgrado (escala de 0 a 20).</w:t>
      </w:r>
    </w:p>
    <w:p>
      <w:pPr>
        <w:pBdr>
          <w:top w:val="single" w:color="AAAAAA" w:sz="4"/>
          <w:bottom w:val="single" w:color="AAAAAA" w:sz="4"/>
          <w:left w:val="single" w:color="AAAAAA" w:sz="4"/>
          <w:right w:val="single" w:color="AAAAAA" w:sz="4"/>
        </w:pBdr>
        <w:shd w:val="clear" w:fill="F5F5F5"/>
        <w:spacing w:before="120" w:after="120"/>
        <w:jc w:val="center"/>
      </w:pPr>
      <w:r>
        <w:rPr>
          <w:rFonts w:ascii="Times New Roman" w:hAnsi="Times New Roman" w:eastAsia="Times New Roman" w:cs="Times New Roman"/>
          <w:i/>
          <w:iCs/>
          <w:color w:val="888888"/>
          <w:sz w:val="24"/>
          <w:szCs w:val="24"/>
        </w:rPr>
        <w:t xml:space="preserve">[INSERTAR TABLA 2 AQUÍ — Resultados de la prueba de Kruskal-Wallis (22/25 variables significativas)]</w:t>
      </w:r>
    </w:p>
    <w:p>
      <w:pPr>
        <w:spacing w:before="100" w:after="240"/>
        <w:jc w:val="both"/>
      </w:pPr>
      <w:r>
        <w:rPr>
          <w:rFonts w:ascii="Times New Roman" w:hAnsi="Times New Roman" w:eastAsia="Times New Roman" w:cs="Times New Roman"/>
          <w:i/>
          <w:iCs/>
          <w:sz w:val="22"/>
          <w:szCs w:val="22"/>
        </w:rPr>
        <w:t xml:space="preserve">Tabla 2. Estadísticas de la prueba no paramétrica de Kruskal-Wallis y valores p para 25 indicadores institucionales en los cuatro grupos. Las variables que alcanzan significación estadística (p &lt; 0,001) se indican con ***. Las variables que no alcanzan significación se muestran con valores p exactos. χ²: estadística chi-cuadrado; df: grados de libertad.</w:t>
      </w:r>
    </w:p>
    <w:p>
      <w:pPr>
        <w:pBdr>
          <w:top w:val="single" w:color="AAAAAA" w:sz="4"/>
          <w:bottom w:val="single" w:color="AAAAAA" w:sz="4"/>
          <w:left w:val="single" w:color="AAAAAA" w:sz="4"/>
          <w:right w:val="single" w:color="AAAAAA" w:sz="4"/>
        </w:pBdr>
        <w:shd w:val="clear" w:fill="F5F5F5"/>
        <w:spacing w:before="120" w:after="120"/>
        <w:jc w:val="center"/>
      </w:pPr>
      <w:r>
        <w:rPr>
          <w:rFonts w:ascii="Times New Roman" w:hAnsi="Times New Roman" w:eastAsia="Times New Roman" w:cs="Times New Roman"/>
          <w:i/>
          <w:iCs/>
          <w:color w:val="888888"/>
          <w:sz w:val="24"/>
          <w:szCs w:val="24"/>
        </w:rPr>
        <w:t xml:space="preserve">[INSERTAR FIGURA 1 AQUÍ — Resultados del PCA (gráfico de scree, biplot PC1×PC2, curva de varianza acumulada)]</w:t>
      </w:r>
    </w:p>
    <w:p>
      <w:pPr>
        <w:spacing w:before="100" w:after="240"/>
        <w:jc w:val="both"/>
      </w:pPr>
      <w:r>
        <w:rPr>
          <w:rFonts w:ascii="Times New Roman" w:hAnsi="Times New Roman" w:eastAsia="Times New Roman" w:cs="Times New Roman"/>
          <w:i/>
          <w:iCs/>
          <w:sz w:val="22"/>
          <w:szCs w:val="22"/>
        </w:rPr>
        <w:t xml:space="preserve">Fig. 1. Análisis de componentes principales de 99 instituciones de educación superior peruanas en 26 indicadores institucionales. (a) Gráfico de scree que muestra los valores propios de los primeros 15 componentes; (b) biplot PC1–PC2 con cargas variables (flechas) y puntuaciones institucionales coloreadas según el tipo de titularidad (pública/privada); (c) varianza acumulada explicada a lo largo de 15 componentes, alcanzando el 90,7 % de la inercia total.</w:t>
      </w:r>
    </w:p>
    <w:p>
      <w:pPr>
        <w:pBdr>
          <w:top w:val="single" w:color="AAAAAA" w:sz="4"/>
          <w:bottom w:val="single" w:color="AAAAAA" w:sz="4"/>
          <w:left w:val="single" w:color="AAAAAA" w:sz="4"/>
          <w:right w:val="single" w:color="AAAAAA" w:sz="4"/>
        </w:pBdr>
        <w:shd w:val="clear" w:fill="F5F5F5"/>
        <w:spacing w:before="120" w:after="120"/>
        <w:jc w:val="center"/>
      </w:pPr>
      <w:r>
        <w:rPr>
          <w:rFonts w:ascii="Times New Roman" w:hAnsi="Times New Roman" w:eastAsia="Times New Roman" w:cs="Times New Roman"/>
          <w:i/>
          <w:iCs/>
          <w:color w:val="888888"/>
          <w:sz w:val="24"/>
          <w:szCs w:val="24"/>
        </w:rPr>
        <w:t xml:space="preserve">[INSERTAR FIGURA 2 AQUÍ — Selección del número de clústeres (codo, silueta, estadística de brecha)]</w:t>
      </w:r>
    </w:p>
    <w:p>
      <w:pPr>
        <w:spacing w:before="100" w:after="240"/>
        <w:jc w:val="both"/>
      </w:pPr>
      <w:r>
        <w:rPr>
          <w:rFonts w:ascii="Times New Roman" w:hAnsi="Times New Roman" w:eastAsia="Times New Roman" w:cs="Times New Roman"/>
          <w:i/>
          <w:iCs/>
          <w:sz w:val="22"/>
          <w:szCs w:val="22"/>
        </w:rPr>
        <w:t xml:space="preserve">Fig. 2. Criterios para seleccionar el número óptimo de clústeres (k). (a) Método del codo: suma de cuadrados intragrupo por k, con inflexión en k = 4; (b) Ancho medio de la silueta por k, con pico en k = 7 y un Δ insignificante de 0,0006 por encima de k = 4; (c) Estadística de la brecha con intervalos de confianza de bootstrap, que sugiere k = 2 como límite inferior conservador.</w:t>
      </w:r>
    </w:p>
    <w:p>
      <w:pPr>
        <w:pBdr>
          <w:top w:val="single" w:color="AAAAAA" w:sz="4"/>
          <w:bottom w:val="single" w:color="AAAAAA" w:sz="4"/>
          <w:left w:val="single" w:color="AAAAAA" w:sz="4"/>
          <w:right w:val="single" w:color="AAAAAA" w:sz="4"/>
        </w:pBdr>
        <w:shd w:val="clear" w:fill="F5F5F5"/>
        <w:spacing w:before="120" w:after="120"/>
        <w:jc w:val="center"/>
      </w:pPr>
      <w:r>
        <w:rPr>
          <w:rFonts w:ascii="Times New Roman" w:hAnsi="Times New Roman" w:eastAsia="Times New Roman" w:cs="Times New Roman"/>
          <w:i/>
          <w:iCs/>
          <w:color w:val="888888"/>
          <w:sz w:val="24"/>
          <w:szCs w:val="24"/>
        </w:rPr>
        <w:t xml:space="preserve">[INSERTAR FIGURA 3 AQUÍ — Dendrograma de Ward (corte en k = 4) y dispersión de K-Means en el espacio de PCA]</w:t>
      </w:r>
    </w:p>
    <w:p>
      <w:pPr>
        <w:spacing w:before="100" w:after="240"/>
        <w:jc w:val="both"/>
      </w:pPr>
      <w:r>
        <w:rPr>
          <w:rFonts w:ascii="Times New Roman" w:hAnsi="Times New Roman" w:eastAsia="Times New Roman" w:cs="Times New Roman"/>
          <w:i/>
          <w:iCs/>
          <w:sz w:val="22"/>
          <w:szCs w:val="22"/>
        </w:rPr>
        <w:t xml:space="preserve">Fig. 3. Visualización de clústeres para 99 instituciones de educación superior peruanas (2025-I). (a) Dendrograma jerárquico de Ward en el espacio PCA; la línea discontinua roja indica el corte en k = 4, lo que da lugar a cuatro clústeres institucionales (ARI frente a K-Means = 0,757). (b) Diagrama de dispersión de K-Means en el espacio PC1–PC2; las asignaciones a los clústeres están codificadas por colores (C1 = morado, C2 = verde, C3 = naranja, C4 = dorado); los nombres de las universidades aparecen abreviados.</w:t>
      </w:r>
    </w:p>
    <w:p>
      <w:pPr>
        <w:pBdr>
          <w:top w:val="single" w:color="AAAAAA" w:sz="4"/>
          <w:bottom w:val="single" w:color="AAAAAA" w:sz="4"/>
          <w:left w:val="single" w:color="AAAAAA" w:sz="4"/>
          <w:right w:val="single" w:color="AAAAAA" w:sz="4"/>
        </w:pBdr>
        <w:shd w:val="clear" w:fill="F5F5F5"/>
        <w:spacing w:before="120" w:after="120"/>
        <w:jc w:val="center"/>
      </w:pPr>
      <w:r>
        <w:rPr>
          <w:rFonts w:ascii="Times New Roman" w:hAnsi="Times New Roman" w:eastAsia="Times New Roman" w:cs="Times New Roman"/>
          <w:i/>
          <w:iCs/>
          <w:color w:val="888888"/>
          <w:sz w:val="24"/>
          <w:szCs w:val="24"/>
        </w:rPr>
        <w:t xml:space="preserve">[INSERTAR FIGURA 4 AQUÍ — Perfiles de radar, mapa de calor estandarizado, diagramas de caja para variables clave]</w:t>
      </w:r>
    </w:p>
    <w:p>
      <w:pPr>
        <w:spacing w:before="100" w:after="240"/>
        <w:jc w:val="both"/>
      </w:pPr>
      <w:r>
        <w:rPr>
          <w:rFonts w:ascii="Times New Roman" w:hAnsi="Times New Roman" w:eastAsia="Times New Roman" w:cs="Times New Roman"/>
          <w:i/>
          <w:iCs/>
          <w:sz w:val="22"/>
          <w:szCs w:val="22"/>
        </w:rPr>
        <w:t xml:space="preserve">Fig. 4. Caracterización de los cuatro clústeres institucionales. (a) Gráficos de radar de los perfiles de indicadores normalizados (escala 0–1) para cada clúster; los ejes representan: proporción de profesores con doctorado (doctorado), densidad de investigadores RENACYT (RENACYT doc), profesores en dedicación exclusiva (exclusiva), proporción de profesores contratados (contratado), nota media de posgrado (nota prom egr), puntuación media de admisión (puntaje medio), producción investigadora reciente (prod rec) y ratio de inclusión de personas con discapacidad (discap). (b) Mapa de calor estandarizado de las medias de los grupos en los 26 indicadores institucionales. (c) Diagramas de caja para seis variables discriminantes clave por grupo.</w:t>
      </w:r>
    </w:p>
    <w:p>
      <w:pPr>
        <w:spacing w:before="300" w:after="160"/>
      </w:pPr>
      <w:r>
        <w:rPr>
          <w:rFonts w:ascii="Times New Roman" w:hAnsi="Times New Roman" w:eastAsia="Times New Roman" w:cs="Times New Roman"/>
          <w:b/>
          <w:bCs/>
          <w:i/>
          <w:iCs/>
          <w:sz w:val="24"/>
          <w:szCs w:val="24"/>
        </w:rPr>
        <w:t xml:space="preserve">Distribución geográfica de los clústeres institucionales</w:t>
      </w:r>
    </w:p>
    <w:p>
      <w:pPr>
        <w:spacing w:after="200" w:line="360"/>
        <w:jc w:val="both"/>
      </w:pPr>
      <w:r>
        <w:rPr>
          <w:rFonts w:ascii="Times New Roman" w:hAnsi="Times New Roman" w:eastAsia="Times New Roman" w:cs="Times New Roman"/>
          <w:sz w:val="24"/>
          <w:szCs w:val="24"/>
        </w:rPr>
        <w:t xml:space="preserve">La distribución geográfica de los cuatro clústeres revela una marcada concentración espacial y una diferenciación regional sistemática entre los 25 departamentos de Perú (Fig. 5a, 5b). Lima concentra el 41 % de las 99 instituciones de la muestra analítica, y esta concentración es más pronunciada dentro de C3: el 56 % de las instituciones privadas masivas y flexibles se encuentran en la provincia de Lima, en consonancia con la lógica de maximización de la matriculación de una expansión orientada al mercado que apunta a los mercados laborales metropolitanos (Fig. 5b). Por el contrario, el mapa de burbujas de la distribución de los grupos en el territorio nacional (Fig. 5c) muestra que las instituciones del grupo C1 —universidades públicas estabilizadas— se encuentran dispersas por las capitales regionales de todo el país, siendo la macrorregión Sur la que presenta la mayor densidad de este tipo de grupo (n = 10), lo que refleja el patrón histórico de establecimiento de universidades públicas regionales bajo los marcos de gobernanza anteriores a 2014.</w:t>
      </w:r>
    </w:p>
    <w:p>
      <w:pPr>
        <w:spacing w:after="200" w:line="360"/>
        <w:jc w:val="both"/>
      </w:pPr>
      <w:r>
        <w:rPr>
          <w:rFonts w:ascii="Times New Roman" w:hAnsi="Times New Roman" w:eastAsia="Times New Roman" w:cs="Times New Roman"/>
          <w:sz w:val="24"/>
          <w:szCs w:val="24"/>
        </w:rPr>
        <w:t xml:space="preserve">Las siete instituciones que componen el C4 (en desarrollo regional) se distribuyen por departamentos periféricos fuera de Lima, entre ellos Puno, Amazonas y Ucayali, sin representación en el área metropolitana de Lima-Callao. Este patrón espacial es estructuralmente coherente con las características definitorias del grupo de incompletitud institucional e incumplimiento normativo: los procedimientos de acreditación de la SUNEDU, que requieren una capacidad administrativa sostenida y una infraestructura documental, resultaron más accesibles para las instituciones con sede en Lima que contaban con mayores recursos organizativos. El mapa de calor regional (Fig. 5d) confirma que ninguna macrorregión peruana presenta un perfil institucional homogéneo: cada región contiene instituciones de múltiples clústeres, aunque el equilibrio proporcional varía sustancialmente, siendo Lima la única macrorregión donde las instituciones C3 constituyen una mayoría absoluta y la región Sur la que muestra la mayor concentración relativa de instituciones C1.</w:t>
      </w:r>
    </w:p>
    <w:p>
      <w:pPr>
        <w:pBdr>
          <w:top w:val="single" w:color="AAAAAA" w:sz="4"/>
          <w:bottom w:val="single" w:color="AAAAAA" w:sz="4"/>
          <w:left w:val="single" w:color="AAAAAA" w:sz="4"/>
          <w:right w:val="single" w:color="AAAAAA" w:sz="4"/>
        </w:pBdr>
        <w:shd w:val="clear" w:fill="F5F5F5"/>
        <w:spacing w:before="120" w:after="120"/>
        <w:jc w:val="center"/>
      </w:pPr>
      <w:r>
        <w:rPr>
          <w:rFonts w:ascii="Times New Roman" w:hAnsi="Times New Roman" w:eastAsia="Times New Roman" w:cs="Times New Roman"/>
          <w:i/>
          <w:iCs/>
          <w:color w:val="888888"/>
          <w:sz w:val="24"/>
          <w:szCs w:val="24"/>
        </w:rPr>
        <w:t xml:space="preserve">[INSERTAR FIGURA 5 AQUÍ — Figuras geográficas: por departamento, por macrorregión, mapa de burbujas, mapa de calor región-grupo]</w:t>
      </w:r>
    </w:p>
    <w:p>
      <w:pPr>
        <w:spacing w:before="100" w:after="240"/>
        <w:jc w:val="both"/>
      </w:pPr>
      <w:r>
        <w:rPr>
          <w:rFonts w:ascii="Times New Roman" w:hAnsi="Times New Roman" w:eastAsia="Times New Roman" w:cs="Times New Roman"/>
          <w:i/>
          <w:iCs/>
          <w:sz w:val="22"/>
          <w:szCs w:val="22"/>
        </w:rPr>
        <w:t xml:space="preserve">Fig. 5. Distribución geográfica de los clústeres institucionales en Perú. (a) Gráfico de barras apiladas de la composición de los clústeres por departamento; (b) Frecuencia de los clústeres por macrorregión; (c) Mapa de burbujas de Perú: el tamaño de las burbujas es proporcional al número de instituciones de educación superior por departamento; el color indica el clúster dominante; (d) Mapa de calor de las proporciones de los clústeres por macrorregión. Clústeres: C1 = Público estabilizado, C2 = Especializado de posgrado, C3 = Privado masivo/flexible, C4 = Regional en desarrollo.</w:t>
      </w:r>
    </w:p>
    <w:p>
      <w:pPr>
        <w:spacing w:before="300" w:after="160"/>
      </w:pPr>
      <w:r>
        <w:rPr>
          <w:rFonts w:ascii="Times New Roman" w:hAnsi="Times New Roman" w:eastAsia="Times New Roman" w:cs="Times New Roman"/>
          <w:b/>
          <w:bCs/>
          <w:i/>
          <w:iCs/>
          <w:sz w:val="24"/>
          <w:szCs w:val="24"/>
        </w:rPr>
        <w:t xml:space="preserve">Estabilidad longitudinal de la pertenencia a los clústeres</w:t>
      </w:r>
    </w:p>
    <w:p>
      <w:pPr>
        <w:spacing w:after="200" w:line="360"/>
        <w:jc w:val="both"/>
      </w:pPr>
      <w:r>
        <w:rPr>
          <w:rFonts w:ascii="Times New Roman" w:hAnsi="Times New Roman" w:eastAsia="Times New Roman" w:cs="Times New Roman"/>
          <w:sz w:val="24"/>
          <w:szCs w:val="24"/>
        </w:rPr>
        <w:t xml:space="preserve">Para evaluar si los cuatro perfiles institucionales reflejan condiciones estructurales estables o artefactos de medición transitorios, se replicó el proceso completo de agrupación en tres oleadas semestrales consecutivas de datos administrativos de SUNEDU: Semestre 2024-II (n = 113 instituciones), Semestre 2025-I (n = 99) y Semestre 2025-II (n = 75). La reducción progresiva del tamaño de la muestra a lo largo de los periodos refleja retrasos diferenciales en la presentación de informes y salidas institucionales de la base de datos de SUNEDU, más que una disminución real de la población de instituciones de educación superior.</w:t>
      </w:r>
    </w:p>
    <w:p>
      <w:pPr>
        <w:spacing w:after="200" w:line="360"/>
        <w:jc w:val="both"/>
      </w:pPr>
      <w:r>
        <w:rPr>
          <w:rFonts w:ascii="Times New Roman" w:hAnsi="Times New Roman" w:eastAsia="Times New Roman" w:cs="Times New Roman"/>
          <w:sz w:val="24"/>
          <w:szCs w:val="24"/>
        </w:rPr>
        <w:t xml:space="preserve">Al comparar las asignaciones de clústeres entre las oleadas 2024-II y 2025-I para las 97 instituciones presentes en ambos periodos, 38 instituciones cambiaron de pertenencia a un clúster, lo que corresponde a una tasa de transición del 39,2 %. El diagrama de flujo de Sankey (Fig. 6a) revela que la gran mayoría de las transiciones se produjeron entre C1 y C3 —es decir, entre configuraciones públicas estabilizadas y privadas masivas—, lo que sugiere que una proporción nada desdeñable de instituciones ocupa posiciones límite en el espacio de características multidimensional, donde cambios moderados en la contratación de profesorado o en las tasas de matriculación pueden desencadenar una reclasificación. El gráfico de evolución a lo largo de las tres oleadas (Fig. 6b) muestra que las distribuciones del tamaño de los clústeres son, en general, estables —C3 contiene sistemáticamente aproximadamente la mitad de todas las instituciones, C4 sigue siendo el clúster más pequeño—, aunque cierta variación de un período a otro en la pertenencia a C1 y C3 refleja ajustes continuos en las condiciones de empleo del profesorado en todo el sistema. Al comparar las oleadas 2024-II y 2025-II, solo 21 instituciones cambiaron de agrupación, lo que indica que las oscilaciones a corto plazo observadas entre semestres consecutivos se resuelven parcialmente en una mayor estabilidad estructural a lo largo de un ciclo anual completo.</w:t>
      </w:r>
    </w:p>
    <w:p>
      <w:pPr>
        <w:spacing w:after="200" w:line="360"/>
        <w:jc w:val="both"/>
      </w:pPr>
      <w:r>
        <w:rPr>
          <w:rFonts w:ascii="Times New Roman" w:hAnsi="Times New Roman" w:eastAsia="Times New Roman" w:cs="Times New Roman"/>
          <w:sz w:val="24"/>
          <w:szCs w:val="24"/>
        </w:rPr>
        <w:t xml:space="preserve">Dos trayectorias institucionales dignas de mención merecen una atención específica. La Universidad Nacional Mayor de San Marcos —la universidad más antigua en funcionamiento continuo de América y la institución pública con mayor prestigio histórico de Perú— pasó del grupo C2 (Escuelas de Posgrado Especializadas) en la oleada 2024-II al grupo C3 (Privadas Masivas y Flexibles) en la oleada 2025-I. Esta transición, que se confirmó en los datos de 2025-II, probablemente refleje cambios en la notificación del empleo del profesorado de San Marcos o una reestructuración de sus categorías contractuales, más que un cambio sustantivo hacia la lógica operativa del sector privado; no obstante, su reclasificación ilustra los riesgos interpretativos de tratar las asignaciones de grupos en un solo período como caracterizaciones institucionales definitivas. La Universidad Nacional de San Agustín (Arequipa), la principal universidad pública de la región Sur, mostró una trayectoria paralela a lo largo de los mismos periodos. Estos casos subrayan colectivamente que incluso las instituciones históricamente consolidadas están sujetas a cambios de perfil cuando se alteran las condiciones de empleo del profesorado, y refuerzan el valor analítico del seguimiento mediante medidas repetidas frente a la evaluación comparativa transversal estática.</w:t>
      </w:r>
    </w:p>
    <w:p>
      <w:pPr>
        <w:pBdr>
          <w:top w:val="single" w:color="AAAAAA" w:sz="4"/>
          <w:bottom w:val="single" w:color="AAAAAA" w:sz="4"/>
          <w:left w:val="single" w:color="AAAAAA" w:sz="4"/>
          <w:right w:val="single" w:color="AAAAAA" w:sz="4"/>
        </w:pBdr>
        <w:shd w:val="clear" w:fill="F5F5F5"/>
        <w:spacing w:before="120" w:after="120"/>
        <w:jc w:val="center"/>
      </w:pPr>
      <w:r>
        <w:rPr>
          <w:rFonts w:ascii="Times New Roman" w:hAnsi="Times New Roman" w:eastAsia="Times New Roman" w:cs="Times New Roman"/>
          <w:i/>
          <w:iCs/>
          <w:color w:val="888888"/>
          <w:sz w:val="24"/>
          <w:szCs w:val="24"/>
        </w:rPr>
        <w:t xml:space="preserve">[INSERTAR FIGURA 6 AQUÍ — Diagrama de transiciones de Sankey y evolución longitudinal de los clústeres]</w:t>
      </w:r>
    </w:p>
    <w:p>
      <w:pPr>
        <w:spacing w:before="100" w:after="240"/>
        <w:jc w:val="both"/>
      </w:pPr>
      <w:r>
        <w:rPr>
          <w:rFonts w:ascii="Times New Roman" w:hAnsi="Times New Roman" w:eastAsia="Times New Roman" w:cs="Times New Roman"/>
          <w:i/>
          <w:iCs/>
          <w:sz w:val="22"/>
          <w:szCs w:val="22"/>
        </w:rPr>
        <w:t xml:space="preserve">Fig. 6. Estabilidad longitudinal de los clústeres a lo largo de tres oleadas semestrales (2024-II, 2025-I, 2025-II). (a) Diagrama de flujo de Sankey que ilustra los patrones de transición de los clústeres para las instituciones presentes tanto en 2024-II (n = 113) como en 2025-I (n = 99). El ancho del flujo es proporcional al número de instituciones en transición. (b) Gráfico de área apilada de la evolución del tamaño de los clústeres a lo largo de tres períodos. Colores de los clústeres como en la fig. 3.</w:t>
      </w:r>
    </w:p>
    <w:p>
      <w:pPr>
        <w:spacing w:before="300" w:after="160"/>
      </w:pPr>
      <w:r>
        <w:rPr>
          <w:rFonts w:ascii="Times New Roman" w:hAnsi="Times New Roman" w:eastAsia="Times New Roman" w:cs="Times New Roman"/>
          <w:b/>
          <w:bCs/>
          <w:i/>
          <w:iCs/>
          <w:sz w:val="24"/>
          <w:szCs w:val="24"/>
        </w:rPr>
        <w:t xml:space="preserve">Agrupación disciplinaria y su relación con los perfiles institucionales</w:t>
      </w:r>
    </w:p>
    <w:p>
      <w:pPr>
        <w:spacing w:after="200" w:line="360"/>
        <w:jc w:val="both"/>
      </w:pPr>
      <w:r>
        <w:rPr>
          <w:rFonts w:ascii="Times New Roman" w:hAnsi="Times New Roman" w:eastAsia="Times New Roman" w:cs="Times New Roman"/>
          <w:sz w:val="24"/>
          <w:szCs w:val="24"/>
        </w:rPr>
        <w:t xml:space="preserve">Un análisis paralelo no supervisado realizado a nivel disciplinario —utilizando el porcentaje de matriculación por área de conocimiento de la CINE de la UNESCO como matriz de características para la muestra completa de 99 instituciones— identificó dos perfiles disciplinarios claramente diferenciados. La solución óptima de dos clústeres alcanzó un ancho de silueta medio de 0,3213, aproximadamente el doble de la cohesión lograda por la solución de agrupamiento institucional (ASW = 0,1665), lo que indica que la composición programática diferencia a las IES peruanas de forma más marcada y sin ambigüedades que las características estructurales y operativas por sí solas. Este contraste refleja el alto grado de concentración disciplinaria en el sistema peruano: la mayoría de las instituciones ofrecen una amplia oferta generalista dominada por los programas de Empresariales y Derecho, o se concentran de forma abrumadora en Educación, con relativamente pocas instituciones que ocupan posiciones programáticas intermedias.</w:t>
      </w:r>
    </w:p>
    <w:p>
      <w:pPr>
        <w:spacing w:after="200" w:line="360"/>
        <w:jc w:val="both"/>
      </w:pPr>
      <w:r>
        <w:rPr>
          <w:rFonts w:ascii="Times New Roman" w:hAnsi="Times New Roman" w:eastAsia="Times New Roman" w:cs="Times New Roman"/>
          <w:sz w:val="24"/>
          <w:szCs w:val="24"/>
        </w:rPr>
        <w:t xml:space="preserve">El grupo disciplinario DC1 </w:t>
      </w:r>
      <w:r>
        <w:rPr>
          <w:rFonts w:ascii="Times New Roman" w:hAnsi="Times New Roman" w:eastAsia="Times New Roman" w:cs="Times New Roman"/>
          <w:i/>
          <w:iCs/>
          <w:sz w:val="24"/>
          <w:szCs w:val="24"/>
        </w:rPr>
        <w:t xml:space="preserve">—Universidades generalistas </w:t>
      </w:r>
      <w:r>
        <w:rPr>
          <w:rFonts w:ascii="Times New Roman" w:hAnsi="Times New Roman" w:eastAsia="Times New Roman" w:cs="Times New Roman"/>
          <w:sz w:val="24"/>
          <w:szCs w:val="24"/>
        </w:rPr>
        <w:t xml:space="preserve">(DC1; n = 81; 86 % de todas las IES)— se caracteriza por un predominio de la matriculación en programas de Empresariales y Derecho, seguidos de Ingeniería y Ciencias Sociales (Fig. 7a). Este perfil es casi universal en todos los tipos de instituciones: el 97 % de las instituciones C1 (públicas estabilizadas) y la gran mayoría de las instituciones C3 (privadas masivas y flexibles) se enmarcan en el DC1, lo que confirma que el generalismo programático no es producto del tipo de titularidad, sino que refleja una alineación a nivel de todo el sistema entre los patrones de demanda de los estudiantes y la oferta institucional. El perfil de radar del DC1 (Fig. 7a) capta el carácter multiaxial de la matriculación generalista, con una presencia moderada en la mayoría de las áreas de conocimiento y una concentración pronunciada en programas de formación profesional, en consonancia con las señales del mercado laboral peruano y con el modelo de expansión anterior a 2014.</w:t>
      </w:r>
    </w:p>
    <w:p>
      <w:pPr>
        <w:spacing w:after="200" w:line="360"/>
        <w:jc w:val="both"/>
      </w:pPr>
      <w:r>
        <w:rPr>
          <w:rFonts w:ascii="Times New Roman" w:hAnsi="Times New Roman" w:eastAsia="Times New Roman" w:cs="Times New Roman"/>
          <w:sz w:val="24"/>
          <w:szCs w:val="24"/>
        </w:rPr>
        <w:t xml:space="preserve">El grupo disciplinario DC2 </w:t>
      </w:r>
      <w:r>
        <w:rPr>
          <w:rFonts w:ascii="Times New Roman" w:hAnsi="Times New Roman" w:eastAsia="Times New Roman" w:cs="Times New Roman"/>
          <w:i/>
          <w:iCs/>
          <w:sz w:val="24"/>
          <w:szCs w:val="24"/>
        </w:rPr>
        <w:t xml:space="preserve">—Instituciones de Educación y Artes </w:t>
      </w:r>
      <w:r>
        <w:rPr>
          <w:rFonts w:ascii="Times New Roman" w:hAnsi="Times New Roman" w:eastAsia="Times New Roman" w:cs="Times New Roman"/>
          <w:sz w:val="24"/>
          <w:szCs w:val="24"/>
        </w:rPr>
        <w:t xml:space="preserve">(DC2; n = 13; 14 %)— se define por una matriculación casi exclusiva en programas de Educación y, en segundo lugar, en programas de Artes, con una presencia insignificante en otras áreas de conocimiento. El perfil de radar del DC2 (Fig. 7a) se reduce casi por completo al eje de Educación, un patrón que el diagrama de dispersión en el espacio PCA disciplinario (Fig. 7b) confirma como un posicionamiento extremo en relación con las instituciones del DC1. La tabulación cruzada de los clústeres institucionales y disciplinarios revela un hallazgo estructuralmente decisivo: las siete instituciones que componen el C4 (Regional en desarrollo) se encuentran dentro del DC2, lo que establece que el sector más marginado institucionalmente del sistema peruano de IES es, al mismo tiempo, el más concentrado disciplinariamente. El gráfico de barras de especialización (Fig. 7d) y el mapa de calor de áreas de conocimiento (Fig. 7c) confirman que las instituciones de DC2 presentan un perfil de matriculación sin presencia significativa fuera de los campos relacionados con la Educación, lo que las distingue estructuralmente de las carteras programáticas diversificadas características de DC1.</w:t>
      </w:r>
    </w:p>
    <w:p>
      <w:pPr>
        <w:spacing w:after="200" w:line="360"/>
        <w:jc w:val="both"/>
      </w:pPr>
      <w:r>
        <w:rPr>
          <w:rFonts w:ascii="Times New Roman" w:hAnsi="Times New Roman" w:eastAsia="Times New Roman" w:cs="Times New Roman"/>
          <w:sz w:val="24"/>
          <w:szCs w:val="24"/>
        </w:rPr>
        <w:t xml:space="preserve">En conjunto, las soluciones de agrupación institucional y disciplinaria son analíticamente complementarias, más que redundantes. Los clústeres institucionales captan la variación a lo largo de las dimensiones de gobernanza, empleo e infraestructura de investigación; los clústeres disciplinarios captan la lógica programática de la demanda estudiantil y la misión institucional. Su intersección sistemática —concretamente, la alineación completa entre la marginalidad estructural (C4) y la concentración disciplinaria en Educación (DC2), y la alineación casi universal entre la consolidación institucional (C1) y la programación generalista (DC1)— revela que la estratificación en el sistema de educación superior peruano no se distribuye aleatoriamente entre las áreas de conocimiento, sino que está estructuralmente arraigada en la coevolución del tipo de institución y la oferta de programas. Esta alineación tiene implicaciones directas para la política de garantía de calidad: los marcos normativos diseñados para abordar el empleo precario o los déficits de investigación en las instituciones C4 deben tener en cuenta simultáneamente el monocultivo disciplinario que limita la capacidad de estas instituciones para diversificar las fuentes de ingresos o aprovechar los mecanismos de financiación de la investigación a los que acceden principalmente los campos STEM y profesionales.</w:t>
      </w:r>
    </w:p>
    <w:p>
      <w:pPr>
        <w:pBdr>
          <w:top w:val="single" w:color="AAAAAA" w:sz="4"/>
          <w:bottom w:val="single" w:color="AAAAAA" w:sz="4"/>
          <w:left w:val="single" w:color="AAAAAA" w:sz="4"/>
          <w:right w:val="single" w:color="AAAAAA" w:sz="4"/>
        </w:pBdr>
        <w:shd w:val="clear" w:fill="F5F5F5"/>
        <w:spacing w:before="120" w:after="120"/>
        <w:jc w:val="center"/>
      </w:pPr>
      <w:r>
        <w:rPr>
          <w:rFonts w:ascii="Times New Roman" w:hAnsi="Times New Roman" w:eastAsia="Times New Roman" w:cs="Times New Roman"/>
          <w:i/>
          <w:iCs/>
          <w:color w:val="888888"/>
          <w:sz w:val="24"/>
          <w:szCs w:val="24"/>
        </w:rPr>
        <w:t xml:space="preserve">[INSERTAR FIGURA 7 AQUÍ — Agrupación disciplinaria: radar, diagrama de dispersión, mapa de calor, barras de especialización]</w:t>
      </w:r>
    </w:p>
    <w:p>
      <w:pPr>
        <w:spacing w:before="100" w:after="240"/>
        <w:jc w:val="both"/>
      </w:pPr>
      <w:r>
        <w:rPr>
          <w:rFonts w:ascii="Times New Roman" w:hAnsi="Times New Roman" w:eastAsia="Times New Roman" w:cs="Times New Roman"/>
          <w:i/>
          <w:iCs/>
          <w:sz w:val="22"/>
          <w:szCs w:val="22"/>
        </w:rPr>
        <w:t xml:space="preserve">Fig. 7. Agrupación disciplinaria de 99 instituciones de educación superior peruanas por área de conocimiento de la UNESCO-ISCED. (a) Perfiles de gráficos de radar para los dos clústeres disciplinarios (DC1 = Generalista, DC2 = Orientado a la educación); los ejes representan el porcentaje de matriculación por área de conocimiento (normalizado). (b) Diagrama de dispersión en el espacio PCA disciplinario coloreado por clúster disciplinario. (c) Mapa de calor de las proporciones de matriculación en las distintas áreas de conocimiento por institución, ordenadas según la pertenencia a un grupo. (d) Gráfico de barras apiladas de la especialización de la matriculación por grupo institucional (C1–C4), coloreado según la asignación a un grupo disciplinario.</w:t>
      </w:r>
    </w:p>
    <w:p>
      <w:pPr>
        <w:spacing w:after="200" w:line="360"/>
        <w:jc w:val="both"/>
      </w:pPr>
      <w:r>
        <w:rPr>
          <w:rFonts w:ascii="Times New Roman" w:hAnsi="Times New Roman" w:eastAsia="Times New Roman" w:cs="Times New Roman"/>
          <w:sz w:val="24"/>
          <w:szCs w:val="24"/>
        </w:rPr>
        <w:t xml:space="preserve">En resumen, el análisis de conglomerados de las instituciones de educación superior peruanas identificó cuatro perfiles institucionales estructuralmente distintos que difieren significativamente en cuanto al régimen de contratación, la capacidad investigadora, el rendimiento académico, la distribución geográfica y la orientación disciplinaria. Estos perfiles muestran una estabilidad longitudinal moderada, con una notable actividad de transición en la frontera entre las configuraciones públicas estabilizadas y las privadas de masa. El análisis disciplinario revela un panorama programático binario en el que la marginalidad estructural y el monocultivo disciplinario se refuerzan mutuamente, especialmente en las instituciones públicas regionales del Clúster 4. Estos hallazgos se desarrollan en la Discusión haciendo referencia a los marcos teóricos de la estratificación institucional y la política de educación superior en el contexto latinoamericano.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Un-named</lastModifiedBy>
  <revision>1</revision>
  <dcterms:created xsi:type="dcterms:W3CDTF">2026-05-13T01:00:29.2350000Z</dcterms:created>
  <dcterms:modified xsi:type="dcterms:W3CDTF">2026-05-13T01:00:29.2350000Z</dcterms:modified>
  <keywords>, docId:29751B89812FBFA80FFC53396E50D8A7</keywords>
</coreProperties>
</file>

<file path=docProps/custom.xml><?xml version="1.0" encoding="utf-8"?>
<Properties xmlns="http://schemas.openxmlformats.org/officeDocument/2006/custom-properties" xmlns:vt="http://schemas.openxmlformats.org/officeDocument/2006/docPropsVTypes"/>
</file>