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28"/>
          <w:szCs w:val="28"/>
        </w:rPr>
        <w:t xml:space="preserve">Results</w:t>
      </w:r>
    </w:p>
    <w:p>
      <w:pPr>
        <w:spacing w:after="160" w:before="300"/>
      </w:pPr>
      <w:r>
        <w:rPr>
          <w:rFonts w:ascii="Times New Roman" w:cs="Times New Roman" w:eastAsia="Times New Roman" w:hAnsi="Times New Roman"/>
          <w:b/>
          <w:bCs/>
          <w:i/>
          <w:iCs/>
          <w:sz w:val="24"/>
          <w:szCs w:val="24"/>
        </w:rPr>
        <w:t xml:space="preserve">Dimensionality reduction and selection of the optimal number of clusters</w:t>
      </w:r>
    </w:p>
    <w:p>
      <w:pPr>
        <w:spacing w:after="200" w:line="360"/>
        <w:jc w:val="both"/>
      </w:pPr>
      <w:r>
        <w:rPr>
          <w:rFonts w:ascii="Times New Roman" w:cs="Times New Roman" w:eastAsia="Times New Roman" w:hAnsi="Times New Roman"/>
          <w:sz w:val="24"/>
          <w:szCs w:val="24"/>
        </w:rPr>
        <w:t xml:space="preserve">Principal component analysis (PCA) applied to the 26-variable scaled institutional matrix — constructed from SUNEDU and CONCYTEC CTI Vitae administrative records for 99 higher education institutions (HEIs) active in the 2025-I semester — yielded a 15-component solution retaining 90.7% of total variance (Fig. 1a, 1c). The first two principal components accounted for 15.6% (PC1) and 12.0% (PC2) of the variance respectively, and the PC1–PC2 biplot (Fig. 1b) reveals a broad institutional spread along dimensions primarily associated with faculty employment regime and research-system integration. Private institutions cluster toward positive PC1 values, reflecting higher contracted-faculty proportions and enrollment-driven operating models, while public institutions concentrate toward negative PC1 values, consistent with more stable but resource-constrained employment conditions. These patterns confirm the presence of substantive multidimensional structure warranting unsupervised classification.</w:t>
      </w:r>
    </w:p>
    <w:p>
      <w:pPr>
        <w:spacing w:after="200" w:line="360"/>
        <w:jc w:val="both"/>
      </w:pPr>
      <w:r>
        <w:rPr>
          <w:rFonts w:ascii="Times New Roman" w:cs="Times New Roman" w:eastAsia="Times New Roman" w:hAnsi="Times New Roman"/>
          <w:sz w:val="24"/>
          <w:szCs w:val="24"/>
        </w:rPr>
        <w:t xml:space="preserve">Three complementary criteria were applied to determine the optimal number of clusters. The elbow method — based on the within-cluster sum of squares — identified a pronounced inflection at k = 4 (Fig. 2a), indicating that additional clusters beyond that point produce diminishing gains in intra-group compactness. The average silhouette width curve peaked formally at k = 7, though the improvement over the k = 4 solution was negligible (Δ = 0.0006), offering no substantive gain in cluster cohesion (Fig. 2b). The gap statistic suggested k = 2 as a conservative lower bound (Fig. 2c), appropriate for detecting gross bimodality but insufficient to capture the institutional heterogeneity observed in Peruvian higher education. Balancing statistical parsimony with policy-analytical interpretability, k = 4 was retained as the optimal partition, consistent with the elbow criterion and with the requirement that each cluster correspond to a theoretically coherent and empirically distinguishable institutional type.</w:t>
      </w:r>
    </w:p>
    <w:p>
      <w:pPr>
        <w:spacing w:after="160" w:before="300"/>
      </w:pPr>
      <w:r>
        <w:rPr>
          <w:rFonts w:ascii="Times New Roman" w:cs="Times New Roman" w:eastAsia="Times New Roman" w:hAnsi="Times New Roman"/>
          <w:b/>
          <w:bCs/>
          <w:i/>
          <w:iCs/>
          <w:sz w:val="24"/>
          <w:szCs w:val="24"/>
        </w:rPr>
        <w:t xml:space="preserve">Four institutional profiles of Peruvian higher education institutions</w:t>
      </w:r>
    </w:p>
    <w:p>
      <w:pPr>
        <w:spacing w:after="200" w:line="360"/>
        <w:jc w:val="both"/>
      </w:pPr>
      <w:r>
        <w:rPr>
          <w:rFonts w:ascii="Times New Roman" w:cs="Times New Roman" w:eastAsia="Times New Roman" w:hAnsi="Times New Roman"/>
          <w:sz w:val="24"/>
          <w:szCs w:val="24"/>
        </w:rPr>
        <w:t xml:space="preserve">Ward's hierarchical clustering applied in the 15-dimensional PCA space produced four clearly differentiated groups, confirmed by the dendrogram cut at k = 4 (Fig. 3a). The K-Means partition in PCA space (Fig. 3b) yielded largely concordant results, with an Adjusted Rand Index of ARI = 0.757 relative to the Ward solution, confirming that the four-cluster structure is robust across alternative algorithmic implementations. DBSCAN density-based clustering identified a single dominant cluster encompassing 94 institutions, with five institutions flagged as noise points, further corroborating that the global structure is not artifactual. The radar profiles of normalized indicator values (Fig. 4a) and the standardized feature heatmap (Fig. 4b) characterize each cluster along the principal institutional dimensions; Table 1 presents full descriptive statistics by cluster.</w:t>
      </w:r>
    </w:p>
    <w:p>
      <w:pPr>
        <w:spacing w:after="200" w:line="360"/>
        <w:jc w:val="both"/>
      </w:pPr>
      <w:r>
        <w:rPr>
          <w:rFonts w:ascii="Times New Roman" w:cs="Times New Roman" w:eastAsia="Times New Roman" w:hAnsi="Times New Roman"/>
          <w:sz w:val="24"/>
          <w:szCs w:val="24"/>
        </w:rPr>
        <w:t xml:space="preserve">Cluster 1 — </w:t>
      </w:r>
      <w:r>
        <w:rPr>
          <w:rFonts w:ascii="Times New Roman" w:cs="Times New Roman" w:eastAsia="Times New Roman" w:hAnsi="Times New Roman"/>
          <w:i/>
          <w:iCs/>
          <w:sz w:val="24"/>
          <w:szCs w:val="24"/>
        </w:rPr>
        <w:t xml:space="preserve">Public Stabilized Universities</w:t>
      </w:r>
      <w:r>
        <w:rPr>
          <w:rFonts w:ascii="Times New Roman" w:cs="Times New Roman" w:eastAsia="Times New Roman" w:hAnsi="Times New Roman"/>
          <w:sz w:val="24"/>
          <w:szCs w:val="24"/>
        </w:rPr>
        <w:t xml:space="preserve"> (C1; n = 37; 33 public, 4 private) — </w:t>
      </w:r>
      <w:r>
        <w:rPr>
          <w:rFonts w:ascii="Times New Roman" w:cs="Times New Roman" w:eastAsia="Times New Roman" w:hAnsi="Times New Roman"/>
          <w:sz w:val="24"/>
          <w:szCs w:val="24"/>
        </w:rPr>
        <w:t xml:space="preserve">is defined by stable employment conditions and institutionalized faculty governance. An average of 65.7% of teaching staff hold permanent (</w:t>
      </w:r>
      <w:r>
        <w:rPr>
          <w:rFonts w:ascii="Times New Roman" w:cs="Times New Roman" w:eastAsia="Times New Roman" w:hAnsi="Times New Roman"/>
          <w:i/>
          <w:iCs/>
          <w:sz w:val="24"/>
          <w:szCs w:val="24"/>
        </w:rPr>
        <w:t xml:space="preserve">ordinario</w:t>
      </w:r>
      <w:r>
        <w:rPr>
          <w:rFonts w:ascii="Times New Roman" w:cs="Times New Roman" w:eastAsia="Times New Roman" w:hAnsi="Times New Roman"/>
          <w:sz w:val="24"/>
          <w:szCs w:val="24"/>
        </w:rPr>
        <w:t xml:space="preserve">) positions, and 17.7% operate under exclusive-dedication regimes, the highest proportion among all clusters. RENACYT-registered researchers average 35.1 per institution, reflecting moderate but established participation in the national research system (CONCYTEC). This cluster comprises the large majority of historically consolidated public universities distributed across Peru's regional capitals, representing a sector with relative employment security but limited capacity to expand research output under existing budget constraints.</w:t>
      </w:r>
    </w:p>
    <w:p>
      <w:pPr>
        <w:spacing w:after="200" w:line="360"/>
        <w:jc w:val="both"/>
      </w:pPr>
      <w:r>
        <w:rPr>
          <w:rFonts w:ascii="Times New Roman" w:cs="Times New Roman" w:eastAsia="Times New Roman" w:hAnsi="Times New Roman"/>
          <w:sz w:val="24"/>
          <w:szCs w:val="24"/>
        </w:rPr>
        <w:t xml:space="preserve">Cluster 2 — </w:t>
      </w:r>
      <w:r>
        <w:rPr>
          <w:rFonts w:ascii="Times New Roman" w:cs="Times New Roman" w:eastAsia="Times New Roman" w:hAnsi="Times New Roman"/>
          <w:i/>
          <w:iCs/>
          <w:sz w:val="24"/>
          <w:szCs w:val="24"/>
        </w:rPr>
        <w:t xml:space="preserve">Specialized Postgraduate Schools</w:t>
      </w:r>
      <w:r>
        <w:rPr>
          <w:rFonts w:ascii="Times New Roman" w:cs="Times New Roman" w:eastAsia="Times New Roman" w:hAnsi="Times New Roman"/>
          <w:sz w:val="24"/>
          <w:szCs w:val="24"/>
        </w:rPr>
        <w:t xml:space="preserve"> (C2; n = 3; 1 public, 2 private) — </w:t>
      </w:r>
      <w:r>
        <w:rPr>
          <w:rFonts w:ascii="Times New Roman" w:cs="Times New Roman" w:eastAsia="Times New Roman" w:hAnsi="Times New Roman"/>
          <w:sz w:val="24"/>
          <w:szCs w:val="24"/>
        </w:rPr>
        <w:t xml:space="preserve">is the smallest and most structurally distinctive group, encompassing three institutions whose educational mission is restricted to postgraduate training. All three offer exclusively master's-level programmes, with a student-to-faculty ratio of 13:1 — the lowest in the sample — reflecting high instructional intensity and narrow programmatic scope. The radar profile for C2 (Fig. 4a) is conspicuously narrow across most indicators, which is analytically expected given the absence of undergraduate enrollment. The distinct positioning of these institutions at the upper margin of the PC2 axis (Fig. 3b) confirms their outlier status relative to the broader national HEI landscape, and their substantive separation from C1 on the doctoral-faculty dimension underscores their unique institutional logic.</w:t>
      </w:r>
    </w:p>
    <w:p>
      <w:pPr>
        <w:spacing w:after="200" w:line="360"/>
        <w:jc w:val="both"/>
      </w:pPr>
      <w:r>
        <w:rPr>
          <w:rFonts w:ascii="Times New Roman" w:cs="Times New Roman" w:eastAsia="Times New Roman" w:hAnsi="Times New Roman"/>
          <w:sz w:val="24"/>
          <w:szCs w:val="24"/>
        </w:rPr>
        <w:t xml:space="preserve">Cluster 3 — </w:t>
      </w:r>
      <w:r>
        <w:rPr>
          <w:rFonts w:ascii="Times New Roman" w:cs="Times New Roman" w:eastAsia="Times New Roman" w:hAnsi="Times New Roman"/>
          <w:i/>
          <w:iCs/>
          <w:sz w:val="24"/>
          <w:szCs w:val="24"/>
        </w:rPr>
        <w:t xml:space="preserve">Mass and Flexible Private Universities</w:t>
      </w:r>
      <w:r>
        <w:rPr>
          <w:rFonts w:ascii="Times New Roman" w:cs="Times New Roman" w:eastAsia="Times New Roman" w:hAnsi="Times New Roman"/>
          <w:sz w:val="24"/>
          <w:szCs w:val="24"/>
        </w:rPr>
        <w:t xml:space="preserve"> (C3; n = 52; 6 public, 46 private) — </w:t>
      </w:r>
      <w:r>
        <w:rPr>
          <w:rFonts w:ascii="Times New Roman" w:cs="Times New Roman" w:eastAsia="Times New Roman" w:hAnsi="Times New Roman"/>
          <w:sz w:val="24"/>
          <w:szCs w:val="24"/>
        </w:rPr>
        <w:t xml:space="preserve">is the largest group and encompasses the dominant segment of market-oriented private higher education in Peru. The defining characteristic of this cluster is high faculty precarization: on average, 81.1% of teaching staff hold contracted (</w:t>
      </w:r>
      <w:r>
        <w:rPr>
          <w:rFonts w:ascii="Times New Roman" w:cs="Times New Roman" w:eastAsia="Times New Roman" w:hAnsi="Times New Roman"/>
          <w:i/>
          <w:iCs/>
          <w:sz w:val="24"/>
          <w:szCs w:val="24"/>
        </w:rPr>
        <w:t xml:space="preserve">contratado</w:t>
      </w:r>
      <w:r>
        <w:rPr>
          <w:rFonts w:ascii="Times New Roman" w:cs="Times New Roman" w:eastAsia="Times New Roman" w:hAnsi="Times New Roman"/>
          <w:sz w:val="24"/>
          <w:szCs w:val="24"/>
        </w:rPr>
        <w:t xml:space="preserve">) positions, indicating predominantly part-time, non-tenured employment relationships. Despite this structural precarity, institutions in C3 exhibit the highest mean graduate academic performance score in the sample (GPA = 15.28 on a 20-point scale), a finding that challenges conventional assumptions associating faculty employment quality with student learning outcomes, and that we examine in detail in the Discussion. RENACYT researcher density is 52.4 per institution — higher in absolute terms than C1 — though concentrated in a handful of larger private universities rather than distributed across the cluster. C3 institutions concentrate disproportionately in Lima and secondary cities, consistent with enrollment-maximization strategies targeting urban labor markets.</w:t>
      </w:r>
    </w:p>
    <w:p>
      <w:pPr>
        <w:spacing w:after="200" w:line="360"/>
        <w:jc w:val="both"/>
      </w:pPr>
      <w:r>
        <w:rPr>
          <w:rFonts w:ascii="Times New Roman" w:cs="Times New Roman" w:eastAsia="Times New Roman" w:hAnsi="Times New Roman"/>
          <w:sz w:val="24"/>
          <w:szCs w:val="24"/>
        </w:rPr>
        <w:t xml:space="preserve">Cluster 4 — </w:t>
      </w:r>
      <w:r>
        <w:rPr>
          <w:rFonts w:ascii="Times New Roman" w:cs="Times New Roman" w:eastAsia="Times New Roman" w:hAnsi="Times New Roman"/>
          <w:i/>
          <w:iCs/>
          <w:sz w:val="24"/>
          <w:szCs w:val="24"/>
        </w:rPr>
        <w:t xml:space="preserve">Regional Developing Institutions</w:t>
      </w:r>
      <w:r>
        <w:rPr>
          <w:rFonts w:ascii="Times New Roman" w:cs="Times New Roman" w:eastAsia="Times New Roman" w:hAnsi="Times New Roman"/>
          <w:sz w:val="24"/>
          <w:szCs w:val="24"/>
        </w:rPr>
        <w:t xml:space="preserve"> (C4; n = 7; all public) — </w:t>
      </w:r>
      <w:r>
        <w:rPr>
          <w:rFonts w:ascii="Times New Roman" w:cs="Times New Roman" w:eastAsia="Times New Roman" w:hAnsi="Times New Roman"/>
          <w:sz w:val="24"/>
          <w:szCs w:val="24"/>
        </w:rPr>
        <w:t xml:space="preserve">comprises the most institutionally marginalized sector of the Peruvian HEI system. None of the seven institutions in this cluster holds an active institutional license from SUNEDU (i.e., 0% licensing compliance), none has any RENACYT-registered researcher (RENACYT score = 0), and all are located outside Lima in peripheral departments. The radar profile of C4 (Fig. 4a) is heavily weighted toward the student disability inclusion (</w:t>
      </w:r>
      <w:r>
        <w:rPr>
          <w:rFonts w:ascii="Times New Roman" w:cs="Times New Roman" w:eastAsia="Times New Roman" w:hAnsi="Times New Roman"/>
          <w:i/>
          <w:iCs/>
          <w:sz w:val="24"/>
          <w:szCs w:val="24"/>
        </w:rPr>
        <w:t xml:space="preserve">discap</w:t>
      </w:r>
      <w:r>
        <w:rPr>
          <w:rFonts w:ascii="Times New Roman" w:cs="Times New Roman" w:eastAsia="Times New Roman" w:hAnsi="Times New Roman"/>
          <w:sz w:val="24"/>
          <w:szCs w:val="24"/>
        </w:rPr>
        <w:t xml:space="preserve">) dimension, suggesting that these institutions serve populations with higher socioeconomic vulnerability. The boxplot comparisons (Fig. 4c) confirm that C4 is significantly separated from all other clusters on research and quality-assurance indicators, while exhibiting the highest relative enrollment in disability categories among the four profiles. This cluster represents a structural gap in Peruvian higher education governance: institutions operating at the margin of the formal regulatory framework without the research infrastructure or accreditation status typical of consolidated public universities.</w:t>
      </w:r>
    </w:p>
    <w:p>
      <w:pPr>
        <w:spacing w:after="160" w:before="300"/>
      </w:pPr>
      <w:r>
        <w:rPr>
          <w:rFonts w:ascii="Times New Roman" w:cs="Times New Roman" w:eastAsia="Times New Roman" w:hAnsi="Times New Roman"/>
          <w:b/>
          <w:bCs/>
          <w:i/>
          <w:iCs/>
          <w:sz w:val="24"/>
          <w:szCs w:val="24"/>
        </w:rPr>
        <w:t xml:space="preserve">Statistical validation of the cluster solution</w:t>
      </w:r>
    </w:p>
    <w:p>
      <w:pPr>
        <w:spacing w:after="200" w:line="360"/>
        <w:jc w:val="both"/>
      </w:pPr>
      <w:r>
        <w:rPr>
          <w:rFonts w:ascii="Times New Roman" w:cs="Times New Roman" w:eastAsia="Times New Roman" w:hAnsi="Times New Roman"/>
          <w:sz w:val="24"/>
          <w:szCs w:val="24"/>
        </w:rPr>
        <w:t xml:space="preserve">Kruskal-Wallis non-parametric tests confirmed statistically significant differences between clusters on 22 of the 25 institutional indicators examined (p &lt; 0.001 for all significant comparisons; Table 2). Post-hoc Dunn pairwise tests identified specific inter-cluster contrasts, confirming that the four-cluster solution captures substantively meaningful variation across the three analytically central dimensions of the study: (1) faculty employment regime, operationalized through proportions of permanent, contracted, and exclusive-dedication staff; (2) research-system integration, captured by RENACYT researcher density and research productivity indicators; and (3) academic performance outcomes, measured by mean graduate GPA and program completion rates. Only three variables — primarily reflecting disability inclusion ratios and administrative staff proportions — failed to reach statistical significance across clusters, indicating that these dimensions are relatively uniform across institutional types within the current regulatory environment.</w:t>
      </w:r>
    </w:p>
    <w:p>
      <w:pPr>
        <w:spacing w:after="200" w:line="360"/>
        <w:jc w:val="both"/>
      </w:pPr>
      <w:r>
        <w:rPr>
          <w:rFonts w:ascii="Times New Roman" w:cs="Times New Roman" w:eastAsia="Times New Roman" w:hAnsi="Times New Roman"/>
          <w:sz w:val="24"/>
          <w:szCs w:val="24"/>
        </w:rPr>
        <w:t xml:space="preserve">The heatmap of standardized cluster means (Fig. 4b) provides a synthetic visualization of these differences. The four clusters are unambiguously distinguished along the horizontal axis by their faculty employment profiles and along the vertical axis by their research and performance indicators, with C1 and C2 exhibiting markedly different patterns from C3 and C4. This configuration is consistent with a system organized around two primary axes of stratification: the public–private governance divide (reflected in permanent vs. contracted faculty ratios) and the research-active vs. research-absent divide (reflected in RENACYT density and doctoral faculty proportions). Taken together, the statistical validation confirms that the identified profiles represent structurally coherent and empirically distinct institutional configurations rather than artifacts of the clustering algorithm.</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TABLE 1 HERE — Descriptive statistics by cluster (mean ± SD for key indicators)]</w:t>
      </w:r>
    </w:p>
    <w:p>
      <w:pPr>
        <w:spacing w:after="240" w:before="100"/>
        <w:jc w:val="both"/>
      </w:pPr>
      <w:r>
        <w:rPr>
          <w:rFonts w:ascii="Times New Roman" w:cs="Times New Roman" w:eastAsia="Times New Roman" w:hAnsi="Times New Roman"/>
          <w:i/>
          <w:iCs/>
          <w:sz w:val="22"/>
          <w:szCs w:val="22"/>
        </w:rPr>
        <w:t xml:space="preserve">Table 1. Descriptive statistics for the four institutional clusters identified through K-Means clustering in PCA space. Values represent means (standard deviations) for selected indicators drawn from SUNEDU administrative records (2025-I semester) and CONCYTEC CTI Vitae (2025). RENACYT: Sistema Nacional de Ciencia, Tecnología e Innovación Tecnológica researcher registry. GPA: graduate academic performance index (0–20 scale).</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TABLE 2 HERE — Kruskal-Wallis test results (22/25 significant variables)]</w:t>
      </w:r>
    </w:p>
    <w:p>
      <w:pPr>
        <w:spacing w:after="240" w:before="100"/>
        <w:jc w:val="both"/>
      </w:pPr>
      <w:r>
        <w:rPr>
          <w:rFonts w:ascii="Times New Roman" w:cs="Times New Roman" w:eastAsia="Times New Roman" w:hAnsi="Times New Roman"/>
          <w:i/>
          <w:iCs/>
          <w:sz w:val="22"/>
          <w:szCs w:val="22"/>
        </w:rPr>
        <w:t xml:space="preserve">Table 2. Kruskal-Wallis non-parametric test statistics and p-values for 25 institutional indicators across the four clusters. Variables achieving statistical significance (p &lt; 0.001) are indicated with ***. Variables not reaching significance are shown with exact p-values. χ²: chi-squared statistic; df: degrees of freedom.</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1 HERE — PCA results (scree plot, biplot PC1×PC2, cumulative variance curve)]</w:t>
      </w:r>
    </w:p>
    <w:p>
      <w:pPr>
        <w:spacing w:after="240" w:before="100"/>
        <w:jc w:val="both"/>
      </w:pPr>
      <w:r>
        <w:rPr>
          <w:rFonts w:ascii="Times New Roman" w:cs="Times New Roman" w:eastAsia="Times New Roman" w:hAnsi="Times New Roman"/>
          <w:i/>
          <w:iCs/>
          <w:sz w:val="22"/>
          <w:szCs w:val="22"/>
        </w:rPr>
        <w:t xml:space="preserve">Fig. 1. Principal component analysis of 99 Peruvian higher education institutions on 26 institutional indicators. (a) Scree plot showing eigenvalues for the first 15 components; (b) PC1–PC2 biplot with variable loadings (arrows) and institutional scores colored by ownership type (public/private); (c) Cumulative variance explained across 15 components, reaching 90.7% of total inertia.</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2 HERE — Cluster number selection (elbow, silhouette, gap statistic)]</w:t>
      </w:r>
    </w:p>
    <w:p>
      <w:pPr>
        <w:spacing w:after="240" w:before="100"/>
        <w:jc w:val="both"/>
      </w:pPr>
      <w:r>
        <w:rPr>
          <w:rFonts w:ascii="Times New Roman" w:cs="Times New Roman" w:eastAsia="Times New Roman" w:hAnsi="Times New Roman"/>
          <w:i/>
          <w:iCs/>
          <w:sz w:val="22"/>
          <w:szCs w:val="22"/>
        </w:rPr>
        <w:t xml:space="preserve">Fig. 2. Criteria for selecting the optimal number of clusters (k). (a) Elbow method: within-cluster sum of squares by k, with inflection at k = 4; (b) Average silhouette width by k, with peak at k = 7 and negligible Δ = 0.0006 over k = 4; (c) Gap statistic with bootstrap confidence intervals, suggesting k = 2 as a conservative lower bound.</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3 HERE — Ward dendrogram (cut k=4) and K-Means scatter in PCA space]</w:t>
      </w:r>
    </w:p>
    <w:p>
      <w:pPr>
        <w:spacing w:after="240" w:before="100"/>
        <w:jc w:val="both"/>
      </w:pPr>
      <w:r>
        <w:rPr>
          <w:rFonts w:ascii="Times New Roman" w:cs="Times New Roman" w:eastAsia="Times New Roman" w:hAnsi="Times New Roman"/>
          <w:i/>
          <w:iCs/>
          <w:sz w:val="22"/>
          <w:szCs w:val="22"/>
        </w:rPr>
        <w:t xml:space="preserve">Fig. 3. Cluster visualization for 99 Peruvian higher education institutions (2025-I). (a) Ward's hierarchical dendrogram in PCA space; the red dashed line indicates the cut at k = 4 yielding the four institutional clusters (ARI vs. K-Means = 0.757). (b) K-Means scatter plot in PC1–PC2 space; cluster assignments are color-coded (C1 = purple, C2 = green, C3 = orange, C4 = gold); university names are abbreviated.</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4 HERE — Radar profiles, standardized heatmap, boxplots for key variables]</w:t>
      </w:r>
    </w:p>
    <w:p>
      <w:pPr>
        <w:spacing w:after="240" w:before="100"/>
        <w:jc w:val="both"/>
      </w:pPr>
      <w:r>
        <w:rPr>
          <w:rFonts w:ascii="Times New Roman" w:cs="Times New Roman" w:eastAsia="Times New Roman" w:hAnsi="Times New Roman"/>
          <w:i/>
          <w:iCs/>
          <w:sz w:val="22"/>
          <w:szCs w:val="22"/>
        </w:rPr>
        <w:t xml:space="preserve">Fig. 4. Characterization of the four institutional clusters. (a) Radar charts of normalized indicator profiles (0–1 scale) for each cluster; axes represent: doctorate-holding faculty proportion (doctorado), RENACYT researcher density (RENACYT doc), exclusive-dedication faculty (exclusiva), contracted-faculty proportion (contratado), mean graduate GPA (nota prom egr), mean admission score (puntaje medio), recent research output (prod rec), and disability inclusion ratio (discap). (b) Standardized heatmap of cluster means across all 26 institutional indicators. (c) Boxplots for six key discriminating variables by cluster.</w:t>
      </w:r>
    </w:p>
    <w:p>
      <w:pPr>
        <w:spacing w:after="160" w:before="300"/>
      </w:pPr>
      <w:r>
        <w:rPr>
          <w:rFonts w:ascii="Times New Roman" w:cs="Times New Roman" w:eastAsia="Times New Roman" w:hAnsi="Times New Roman"/>
          <w:b/>
          <w:bCs/>
          <w:i/>
          <w:iCs/>
          <w:sz w:val="24"/>
          <w:szCs w:val="24"/>
        </w:rPr>
        <w:t xml:space="preserve">Geographic distribution of institutional clusters</w:t>
      </w:r>
    </w:p>
    <w:p>
      <w:pPr>
        <w:spacing w:after="200" w:line="360"/>
        <w:jc w:val="both"/>
      </w:pPr>
      <w:r>
        <w:rPr>
          <w:rFonts w:ascii="Times New Roman" w:cs="Times New Roman" w:eastAsia="Times New Roman" w:hAnsi="Times New Roman"/>
          <w:sz w:val="24"/>
          <w:szCs w:val="24"/>
        </w:rPr>
        <w:t xml:space="preserve">The geographic distribution of the four clusters reveals pronounced spatial concentration and systematic regional differentiation across Peru's 25 departments (Fig. 5a, 5b). Lima concentrates 41% of all 99 institutions in the analytical sample, and this concentration is most pronounced within C3: 56% of mass and flexible private institutions are located in Lima Province, consistent with the enrollment-maximization logic of market-oriented expansion targeting metropolitan labor markets (Fig. 5b). By contrast, the bubble map of cluster distribution across the national territory (Fig. 5c) shows that C1 institutions — public stabilized universities — are dispersed across regional capitals throughout the country, with the Southern macroregion exhibiting the highest density of this cluster type (n = 10), reflecting the historical pattern of regional public university establishment under pre-2014 governance frameworks.</w:t>
      </w:r>
    </w:p>
    <w:p>
      <w:pPr>
        <w:spacing w:after="200" w:line="360"/>
        <w:jc w:val="both"/>
      </w:pPr>
      <w:r>
        <w:rPr>
          <w:rFonts w:ascii="Times New Roman" w:cs="Times New Roman" w:eastAsia="Times New Roman" w:hAnsi="Times New Roman"/>
          <w:sz w:val="24"/>
          <w:szCs w:val="24"/>
        </w:rPr>
        <w:t xml:space="preserve">The seven institutions comprising C4 (Regional Developing) are distributed across peripheral departments outside Lima, including Puno, Amazonas, and Ucayali, with no representation in the Lima–Callao metropolitan area. This spatial pattern is structurally consistent with the cluster's defining characteristics of institutional incompleteness and regulatory non-compliance: SUNEDU licensing procedures, which require sustained administrative capacity and documentation infrastructure, proved more accessible to Lima-based institutions with greater organizational resources. The regional heatmap (Fig. 5d) confirms that no Peruvian macroregion exhibits a homogeneous institutional profile: each region contains institutions from multiple clusters, though the proportional balance varies substantially, with Lima being the only macroregion where C3 institutions constitute an absolute majority and with the Southern region showing the highest relative concentration of C1 institutions.</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5 HERE — Geographic figures: by departamento, by macroregion, mapa burbujas, heatmap región-cluster]</w:t>
      </w:r>
    </w:p>
    <w:p>
      <w:pPr>
        <w:spacing w:after="240" w:before="100"/>
        <w:jc w:val="both"/>
      </w:pPr>
      <w:r>
        <w:rPr>
          <w:rFonts w:ascii="Times New Roman" w:cs="Times New Roman" w:eastAsia="Times New Roman" w:hAnsi="Times New Roman"/>
          <w:i/>
          <w:iCs/>
          <w:sz w:val="22"/>
          <w:szCs w:val="22"/>
        </w:rPr>
        <w:t xml:space="preserve">Fig. 5. Geographic distribution of institutional clusters across Peru. (a) Stacked bar chart of cluster composition by department; (b) Cluster frequency by macroregion; (c) Bubble map of Peru: bubble size proportional to number of HEIs per department, color indicates dominant cluster; (d) Heatmap of cluster proportions by macroregion. Clusters: C1 = Public Stabilized, C2 = Specialized Postgraduate, C3 = Mass/Flexible Private, C4 = Regional Developing.</w:t>
      </w:r>
    </w:p>
    <w:p>
      <w:pPr>
        <w:spacing w:after="160" w:before="300"/>
      </w:pPr>
      <w:r>
        <w:rPr>
          <w:rFonts w:ascii="Times New Roman" w:cs="Times New Roman" w:eastAsia="Times New Roman" w:hAnsi="Times New Roman"/>
          <w:b/>
          <w:bCs/>
          <w:i/>
          <w:iCs/>
          <w:sz w:val="24"/>
          <w:szCs w:val="24"/>
        </w:rPr>
        <w:t xml:space="preserve">Longitudinal stability of cluster memberships</w:t>
      </w:r>
    </w:p>
    <w:p>
      <w:pPr>
        <w:spacing w:after="200" w:line="360"/>
        <w:jc w:val="both"/>
      </w:pPr>
      <w:r>
        <w:rPr>
          <w:rFonts w:ascii="Times New Roman" w:cs="Times New Roman" w:eastAsia="Times New Roman" w:hAnsi="Times New Roman"/>
          <w:sz w:val="24"/>
          <w:szCs w:val="24"/>
        </w:rPr>
        <w:t xml:space="preserve">To assess whether the four institutional profiles reflect stable structural conditions or transient measurement artifacts, the full clustering pipeline was replicated across three consecutive semiannual waves of SUNEDU administrative data: Semester 2024-II (n = 113 institutions), Semester 2025-I (n = 99), and Semester 2025-II (n = 75). The progressive reduction in sample size across periods reflects differential reporting lags and institutional exits from the SUNEDU database rather than genuine attrition in the HEI population.</w:t>
      </w:r>
    </w:p>
    <w:p>
      <w:pPr>
        <w:spacing w:after="200" w:line="360"/>
        <w:jc w:val="both"/>
      </w:pPr>
      <w:r>
        <w:rPr>
          <w:rFonts w:ascii="Times New Roman" w:cs="Times New Roman" w:eastAsia="Times New Roman" w:hAnsi="Times New Roman"/>
          <w:sz w:val="24"/>
          <w:szCs w:val="24"/>
        </w:rPr>
        <w:t xml:space="preserve">Comparing cluster assignments between the 2024-II and 2025-I waves for the 97 institutions present in both periods, 38 institutions changed cluster membership, corresponding to a transition rate of 39.2%. The Sankey flow diagram (Fig. 6a) reveals that the large majority of transitions occurred between C1 and C3 — that is, between public stabilized and mass private configurations — suggesting that a non-trivial proportion of institutions occupy boundary positions in the multidimensional feature space, where moderate shifts in faculty contracting or enrollment ratios can trigger reclassification. The evolution plot across all three waves (Fig. 6b) shows that cluster size distributions are broadly stable — C3 consistently contains approximately half of all institutions, C4 remains the smallest cluster — though some period-to-period variation in C1 and C3 membership reflects ongoing adjustments in faculty employment conditions across the system. Comparing the 2024-II and 2025-II waves, only 21 institutions changed cluster membership, indicating that short-term oscillations observed between consecutive semesters partially resolve into greater structural stability over a full annual cycle.</w:t>
      </w:r>
    </w:p>
    <w:p>
      <w:pPr>
        <w:spacing w:after="200" w:line="360"/>
        <w:jc w:val="both"/>
      </w:pPr>
      <w:r>
        <w:rPr>
          <w:rFonts w:ascii="Times New Roman" w:cs="Times New Roman" w:eastAsia="Times New Roman" w:hAnsi="Times New Roman"/>
          <w:sz w:val="24"/>
          <w:szCs w:val="24"/>
        </w:rPr>
        <w:t xml:space="preserve">Two noteworthy institutional trajectories merit specific attention. Universidad Nacional Mayor de San Marcos — the oldest continuously operating university in the Americas and the most historically prestigious public institution in Peru — migrated from C2 (Specialized Postgraduate Schools) in the 2024-II wave to C3 (Mass and Flexible Private) in the 2025-I wave. This transition, which was confirmed in the 2025-II data, likely reflects changes in San Marcos's faculty employment reporting or restructuring of its contractual categories rather than a substantive shift toward private-sector operating logic; nevertheless, its reclassification illustrates the interpretive risks of treating single-period cluster assignments as definitive institutional characterizations. Universidad Nacional de San Agustín (Arequipa), the leading public university of the Southern region, exhibited a parallel trajectory across the same periods. These cases collectively underscore that even historically consolidated institutions are subject to profile drift when faculty employment conditions are disrupted, and they reinforce the analytic value of repeated-measures monitoring over static cross-sectional benchmarking.</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6 HERE — Sankey transitions diagram and longitudinal cluster evolution]</w:t>
      </w:r>
    </w:p>
    <w:p>
      <w:pPr>
        <w:spacing w:after="240" w:before="100"/>
        <w:jc w:val="both"/>
      </w:pPr>
      <w:r>
        <w:rPr>
          <w:rFonts w:ascii="Times New Roman" w:cs="Times New Roman" w:eastAsia="Times New Roman" w:hAnsi="Times New Roman"/>
          <w:i/>
          <w:iCs/>
          <w:sz w:val="22"/>
          <w:szCs w:val="22"/>
        </w:rPr>
        <w:t xml:space="preserve">Fig. 6. Longitudinal cluster stability across three semiannual waves (2024-II, 2025-I, 2025-II). (a) Sankey flow diagram illustrating cluster transition patterns for institutions present in both 2024-II (n = 113) and 2025-I (n = 99). Flow width proportional to number of transitioning institutions. (b) Stacked area chart of cluster size evolution across three periods. Cluster colors as in Fig. 3.</w:t>
      </w:r>
    </w:p>
    <w:p>
      <w:pPr>
        <w:spacing w:after="160" w:before="300"/>
      </w:pPr>
      <w:r>
        <w:rPr>
          <w:rFonts w:ascii="Times New Roman" w:cs="Times New Roman" w:eastAsia="Times New Roman" w:hAnsi="Times New Roman"/>
          <w:b/>
          <w:bCs/>
          <w:i/>
          <w:iCs/>
          <w:sz w:val="24"/>
          <w:szCs w:val="24"/>
        </w:rPr>
        <w:t xml:space="preserve">Disciplinary clustering and its relationship to institutional profiles</w:t>
      </w:r>
    </w:p>
    <w:p>
      <w:pPr>
        <w:spacing w:after="200" w:line="360"/>
        <w:jc w:val="both"/>
      </w:pPr>
      <w:r>
        <w:rPr>
          <w:rFonts w:ascii="Times New Roman" w:cs="Times New Roman" w:eastAsia="Times New Roman" w:hAnsi="Times New Roman"/>
          <w:sz w:val="24"/>
          <w:szCs w:val="24"/>
        </w:rPr>
        <w:t xml:space="preserve">A parallel unsupervised analysis conducted at the disciplinary level — using percentage enrollment by UNESCO-ISCED knowledge area as the feature matrix for the full 99-institution sample — identified two sharply differentiated disciplinary profiles. The optimal two-cluster solution achieved an average silhouette width of 0.3213, approximately twice the cohesion achieved by the institutional clustering solution (ASW = 0.1665), indicating that programmatic composition differentiates Peruvian HEIs more sharply and unambiguously than structural-operational characteristics alone. This contrast reflects the high degree of disciplinary concentration in the Peruvian system: most institutions either offer a broad generalist portfolio dominated by Business and Law, or are overwhelmingly concentrated in Education, with relatively few institutions occupying intermediate programmatic positions.</w:t>
      </w:r>
    </w:p>
    <w:p>
      <w:pPr>
        <w:spacing w:after="200" w:line="360"/>
        <w:jc w:val="both"/>
      </w:pPr>
      <w:r>
        <w:rPr>
          <w:rFonts w:ascii="Times New Roman" w:cs="Times New Roman" w:eastAsia="Times New Roman" w:hAnsi="Times New Roman"/>
          <w:sz w:val="24"/>
          <w:szCs w:val="24"/>
        </w:rPr>
        <w:t xml:space="preserve">Disciplinary Cluster DC1 — </w:t>
      </w:r>
      <w:r>
        <w:rPr>
          <w:rFonts w:ascii="Times New Roman" w:cs="Times New Roman" w:eastAsia="Times New Roman" w:hAnsi="Times New Roman"/>
          <w:i/>
          <w:iCs/>
          <w:sz w:val="24"/>
          <w:szCs w:val="24"/>
        </w:rPr>
        <w:t xml:space="preserve">Generalist Universities</w:t>
      </w:r>
      <w:r>
        <w:rPr>
          <w:rFonts w:ascii="Times New Roman" w:cs="Times New Roman" w:eastAsia="Times New Roman" w:hAnsi="Times New Roman"/>
          <w:sz w:val="24"/>
          <w:szCs w:val="24"/>
        </w:rPr>
        <w:t xml:space="preserve"> (DC1; n = 81; 86% of all HEIs) — is characterized by enrollment dominance in Business and Law programs, followed by Engineering and Social Sciences (Fig. 7a). This profile is nearly universal across institutional types: 97% of C1 (Public Stabilized) institutions and the substantial majority of C3 (Mass and Flexible Private) institutions fall within DC1, confirming that programmatic generalism is not a product of ownership type but rather reflects a system-wide alignment between student demand patterns and institutional supply. The radar profile of DC1 (Fig. 7a) captures the multi-axis character of generalist enrollment, with moderate presence across most knowledge areas and pronounced concentration in professional-track programs consistent with Peruvian labor market signals and with the pre-2014 expansion model.</w:t>
      </w:r>
    </w:p>
    <w:p>
      <w:pPr>
        <w:spacing w:after="200" w:line="360"/>
        <w:jc w:val="both"/>
      </w:pPr>
      <w:r>
        <w:rPr>
          <w:rFonts w:ascii="Times New Roman" w:cs="Times New Roman" w:eastAsia="Times New Roman" w:hAnsi="Times New Roman"/>
          <w:sz w:val="24"/>
          <w:szCs w:val="24"/>
        </w:rPr>
        <w:t xml:space="preserve">Disciplinary Cluster DC2 — </w:t>
      </w:r>
      <w:r>
        <w:rPr>
          <w:rFonts w:ascii="Times New Roman" w:cs="Times New Roman" w:eastAsia="Times New Roman" w:hAnsi="Times New Roman"/>
          <w:i/>
          <w:iCs/>
          <w:sz w:val="24"/>
          <w:szCs w:val="24"/>
        </w:rPr>
        <w:t xml:space="preserve">Education and Arts Institutions</w:t>
      </w:r>
      <w:r>
        <w:rPr>
          <w:rFonts w:ascii="Times New Roman" w:cs="Times New Roman" w:eastAsia="Times New Roman" w:hAnsi="Times New Roman"/>
          <w:sz w:val="24"/>
          <w:szCs w:val="24"/>
        </w:rPr>
        <w:t xml:space="preserve"> (DC2; n = 13; 14%) — is defined by near-exclusive enrollment in Education and, secondarily, in Arts programs, with negligible presence in other knowledge areas. The radar profile of DC2 (Fig. 7a) reduces almost entirely to the Education axis, a pattern that the scatter diagram in disciplinary PCA space (Fig. 7b) confirms as an extreme positioning relative to DC1 institutions. The cross-tabulation of institutional and disciplinary clusters reveals a structurally decisive finding: all seven institutions comprising C4 (Regional Developing) fall within DC2, establishing that the most institutionally marginalized sector of the Peruvian HEI system is simultaneously the most disciplinarily concentrated. The specialization bar chart (Fig. 7d) and the knowledge-area heatmap (Fig. 7c) confirm that DC2 institutions exhibit an enrollment profile with no meaningful presence outside Education-related fields, distinguishing them structurally from the diversified programmatic portfolios characteristic of DC1.</w:t>
      </w:r>
    </w:p>
    <w:p>
      <w:pPr>
        <w:spacing w:after="200" w:line="360"/>
        <w:jc w:val="both"/>
      </w:pPr>
      <w:r>
        <w:rPr>
          <w:rFonts w:ascii="Times New Roman" w:cs="Times New Roman" w:eastAsia="Times New Roman" w:hAnsi="Times New Roman"/>
          <w:sz w:val="24"/>
          <w:szCs w:val="24"/>
        </w:rPr>
        <w:t xml:space="preserve">Taken together, the institutional and disciplinary clustering solutions are analytically complementary rather than redundant. Institutional clusters capture variation along governance, employment, and research-infrastructure dimensions; disciplinary clusters capture the programmatic logic of student demand and institutional mission. Their systematic intersection — specifically, the complete alignment between structural marginality (C4) and disciplinary concentration in Education (DC2), and the near-universal alignment between institutional consolidation (C1) and generalist programming (DC1) — reveals that stratification in the Peruvian higher education system is not randomly distributed across knowledge areas but is structurally embedded in the co-evolution of institutional type and program portfolio. This alignment has direct implications for quality-assurance policy: regulatory frameworks designed to address precarious employment or research deficits in C4 institutions must simultaneously account for the disciplinary monoculture that limits these institutions' capacity to diversify revenue streams or leverage research funding mechanisms primarily accessible to STEM and professional fields.</w:t>
      </w:r>
    </w:p>
    <w:p>
      <w:pPr>
        <w:pBdr>
          <w:top w:val="single" w:color="AAAAAA" w:sz="4"/>
          <w:bottom w:val="single" w:color="AAAAAA" w:sz="4"/>
          <w:left w:val="single" w:color="AAAAAA" w:sz="4"/>
          <w:right w:val="single" w:color="AAAAAA" w:sz="4"/>
        </w:pBdr>
        <w:shd w:fill="F5F5F5" w:val="clear"/>
        <w:spacing w:after="120" w:before="120"/>
        <w:jc w:val="center"/>
      </w:pPr>
      <w:r>
        <w:rPr>
          <w:rFonts w:ascii="Times New Roman" w:cs="Times New Roman" w:eastAsia="Times New Roman" w:hAnsi="Times New Roman"/>
          <w:i/>
          <w:iCs/>
          <w:color w:val="888888"/>
          <w:sz w:val="24"/>
          <w:szCs w:val="24"/>
        </w:rPr>
        <w:t xml:space="preserve">[INSERT FIGURE 7 HERE — Disciplinary clustering: radar, scatter, heatmap, specialization bars]</w:t>
      </w:r>
    </w:p>
    <w:p>
      <w:pPr>
        <w:spacing w:after="240" w:before="100"/>
        <w:jc w:val="both"/>
      </w:pPr>
      <w:r>
        <w:rPr>
          <w:rFonts w:ascii="Times New Roman" w:cs="Times New Roman" w:eastAsia="Times New Roman" w:hAnsi="Times New Roman"/>
          <w:i/>
          <w:iCs/>
          <w:sz w:val="22"/>
          <w:szCs w:val="22"/>
        </w:rPr>
        <w:t xml:space="preserve">Fig. 7. Disciplinary clustering of 99 Peruvian higher education institutions by UNESCO-ISCED knowledge area. (a) Radar chart profiles for the two disciplinary clusters (DC1 = Generalist, DC2 = Education-oriented); axes represent percentage enrollment by knowledge area (normalized). (b) Scatter plot in disciplinary PCA space colored by disciplinary cluster. (c) Heatmap of enrollment proportions across knowledge areas by institution, sorted by cluster membership. (d) Stacked bar chart of enrollment specialization by institutional cluster (C1–C4), colored by disciplinary cluster assignment.</w:t>
      </w:r>
    </w:p>
    <w:p>
      <w:pPr>
        <w:spacing w:after="200" w:line="360"/>
        <w:jc w:val="both"/>
      </w:pPr>
      <w:r>
        <w:rPr>
          <w:rFonts w:ascii="Times New Roman" w:cs="Times New Roman" w:eastAsia="Times New Roman" w:hAnsi="Times New Roman"/>
          <w:sz w:val="24"/>
          <w:szCs w:val="24"/>
        </w:rPr>
        <w:t xml:space="preserve">In sum, the cluster analysis of Peruvian higher education institutions identified four structurally distinct institutional profiles that differ significantly across employment regime, research capacity, academic performance, geographic distribution, and disciplinary orientation. These profiles exhibit moderate longitudinal stability, with notable transition activity at the boundary between public-stabilized and mass-private configurations. The disciplinary analysis reveals a binary programmatic landscape in which structural marginality and disciplinary monoculture reinforce each other, particularly in the regional public institutions of Cluster 4. These findings are elaborated in the Discussion with reference to the theoretical frameworks of institutional stratification and higher education policy in the Latin American context.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2026-05-13T01:00:29.235Z</dcterms:created>
  <dcterms:modified xsi:type="dcterms:W3CDTF">2026-05-13T01:00:29.235Z</dcterms:modified>
</cp:coreProperties>
</file>

<file path=docProps/custom.xml><?xml version="1.0" encoding="utf-8"?>
<Properties xmlns="http://schemas.openxmlformats.org/officeDocument/2006/custom-properties" xmlns:vt="http://schemas.openxmlformats.org/officeDocument/2006/docPropsVTypes"/>
</file>