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(k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(r range = .068 to .49), TIPI-J (r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N &gt; 500 (Wang 2023 N = 1,625; Yu 2021 N = 1,152; Alkış &amp; Temizel 2018 N = 316 online subset; Bahçekapılı &amp; Karaman 2020 N = 525; Kaspar et al. 2023 N = 413; Quigley et al. 2022 N = 301; Rodrigues et al. 2024 N = 260; Zheng &amp; Zheng 2023 N = 282) produced smaller pooled Conscientiousness estimates (r ≈ .10) than studies with N &lt; 200 (r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Flow diagram adapted from the PRISMA 2020 statement (Page et al., 2021). Records were identified through WebSearch-based formal search (n = 80 from eight structured queries), preliminary informal search yielding a previously curated corpus (n = 28), and citation snowballing combined with open-access repository downloads (n = 12), for a total of 120 records. After deduplication (n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(n = 5; MBTI, Proactive Personality, TAM, TUE, and other non-FFM operationalization), face-to-face modality (n = 4; A-09 Bhattacharjee &amp; Ramkumar, 2025; A-10 Boonyapison et al., 2025; A-14 Eilam et al., 2009; A-16 Hidalgo-Fuentes et al., 2024), sample overlap with an already-included study (n = 1; A-05 Audet et al., 2023 overlapped with A-04 Audet et al., 2021), and effect size not extractable (n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0"/>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1"/>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3"/>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4"/>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5"/>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p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p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p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p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p = .255. See Table 4 for full publication-bias assessment.</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i/>
          <w:sz w:val="20"/>
        </w:rPr>
        <w:t xml:space="preserve">Note. </w:t>
      </w:r>
      <w:r>
        <w:rPr>
          <w:rFonts w:ascii="Times New Roman" w:hAnsi="Times New Roman"/>
          <w:sz w:val="20"/>
        </w:rPr>
        <w:t>ID = study identifier in the deep-reading-notes ledger (A-XX sequence). N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b/>
                <w:sz w:val="20"/>
              </w:rPr>
              <w:t>Q(df), 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independent samples contributing a direct Pearson r or Peterson-Brown-converted β to the trait pool. N = total pooled sample size. r = random-effects REML pooled correlation on the Fisher z scale, back-transformed to r for display. 95% CI = Hartung-Knapp-Sidik-Jonkman–adjusted confidence interval. 95% PI = prediction interval for true effects in a new study. I² = Higgins &amp; Thompson's heterogeneity index. τ² = REML between-study variance. Q = Cochran's heterogeneity statistic; df = degrees of freedom; p = associated p-value. Traits are sorted by pooled r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Q_between(df), 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studies contributing to each subgroup. Q_between = between-subgroup heterogeneity statistic testing whether subgroups' pooled effects differ significantly. Dagger (†) indicates the two significant subgroup differences at p &lt; .001 after Holm-Bonferroni correction within the Extraversion trait pool. Categorical levels: Asia = East or Middle Eastern samples; non-Asia = European, North American, or Other regions. Era: pre-COVID = data collected ≤2019; COVID-era = 2020–2022. Post-COVID studies (k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2.14, p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−6.41, p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2.29, p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−8.53, p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−1.79, p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i/>
          <w:sz w:val="22"/>
        </w:rPr>
        <w:t xml:space="preserve">Note. </w:t>
      </w:r>
      <w:r>
        <w:rPr>
          <w:rFonts w:ascii="Times New Roman" w:hAnsi="Times New Roman"/>
          <w:sz w:val="22"/>
        </w:rPr>
        <w:t>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Tokiwa (COI)" removes the present author's prior primary study (Tokiwa, 2025);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b/>
                <w:sz w:val="20"/>
              </w:rPr>
              <w:t>Trait (k, N)</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0"/>
              </w:rPr>
              <w:t>Conscientiousness</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0"/>
              </w:rPr>
              <w:t>Not serious</w:t>
              <w:br/>
              <w:t>(Egger p=.094)</w:t>
            </w:r>
          </w:p>
        </w:tc>
        <w:tc>
          <w:tcPr>
            <w:tcW w:type="dxa" w:w="1170"/>
          </w:tcPr>
          <w:p>
            <w:pPr>
              <w:spacing w:before="0" w:after="0" w:line="276" w:lineRule="auto"/>
            </w:pPr>
            <w:r>
              <w:rPr>
                <w:rFonts w:ascii="Times New Roman" w:hAnsi="Times New Roman" w:eastAsia="Times New Roman"/>
                <w:sz w:val="20"/>
              </w:rPr>
              <w:t>Small</w:t>
              <w:br/>
              <w:t>(r=.167)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Openness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p=.045) †</w:t>
            </w:r>
          </w:p>
        </w:tc>
        <w:tc>
          <w:tcPr>
            <w:tcW w:type="dxa" w:w="1170"/>
          </w:tcPr>
          <w:p>
            <w:pPr>
              <w:spacing w:before="0" w:after="0" w:line="276" w:lineRule="auto"/>
            </w:pPr>
            <w:r>
              <w:rPr>
                <w:rFonts w:ascii="Times New Roman" w:hAnsi="Times New Roman" w:eastAsia="Times New Roman"/>
                <w:sz w:val="20"/>
              </w:rPr>
              <w:t>Small</w:t>
              <w:br/>
              <w:t>(r=.086)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Extraversion</w:t>
              <w:br/>
              <w:t>(k=9, N=3,363)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0"/>
              </w:rPr>
              <w:t>Serious</w:t>
              <w:br/>
              <w:t>(I²=75.5%)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0"/>
              </w:rPr>
              <w:t>Not serious</w:t>
              <w:br/>
              <w:t>(Egger p=.255)</w:t>
            </w:r>
          </w:p>
        </w:tc>
        <w:tc>
          <w:tcPr>
            <w:tcW w:type="dxa" w:w="1170"/>
          </w:tcPr>
          <w:p>
            <w:pPr>
              <w:spacing w:before="0" w:after="0" w:line="276" w:lineRule="auto"/>
            </w:pPr>
            <w:r>
              <w:rPr>
                <w:rFonts w:ascii="Times New Roman" w:hAnsi="Times New Roman" w:eastAsia="Times New Roman"/>
                <w:sz w:val="20"/>
              </w:rPr>
              <w:t>Null</w:t>
              <w:br/>
              <w:t>(r=.002)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Agreeableness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p=.072) †</w:t>
            </w:r>
          </w:p>
        </w:tc>
        <w:tc>
          <w:tcPr>
            <w:tcW w:type="dxa" w:w="1170"/>
          </w:tcPr>
          <w:p>
            <w:pPr>
              <w:spacing w:before="0" w:after="0" w:line="276" w:lineRule="auto"/>
            </w:pPr>
            <w:r>
              <w:rPr>
                <w:rFonts w:ascii="Times New Roman" w:hAnsi="Times New Roman" w:eastAsia="Times New Roman"/>
                <w:sz w:val="20"/>
              </w:rPr>
              <w:t>Small</w:t>
              <w:br/>
              <w:t>(r=.112)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Neuroticism</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0"/>
              </w:rPr>
              <w:t>Not serious</w:t>
              <w:br/>
              <w:t>(Egger p=.304)</w:t>
            </w:r>
          </w:p>
        </w:tc>
        <w:tc>
          <w:tcPr>
            <w:tcW w:type="dxa" w:w="1170"/>
          </w:tcPr>
          <w:p>
            <w:pPr>
              <w:spacing w:before="0" w:after="0" w:line="276" w:lineRule="auto"/>
            </w:pPr>
            <w:r>
              <w:rPr>
                <w:rFonts w:ascii="Times New Roman" w:hAnsi="Times New Roman" w:eastAsia="Times New Roman"/>
                <w:sz w:val="20"/>
              </w:rPr>
              <w:t>Null</w:t>
              <w:br/>
              <w:t>(r=.018)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i/>
          <w:sz w:val="22"/>
        </w:rPr>
        <w:t xml:space="preserve">Note. </w:t>
      </w:r>
      <w:r>
        <w:rPr>
          <w:rFonts w:ascii="Times New Roman" w:hAnsi="Times New Roman"/>
          <w:sz w:val="22"/>
        </w:rPr>
        <w:t>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(I² and prediction interval; serious if I² &gt; 50%, very serious if I² &gt; 75%), Indirectness (population, exposure, or outcome indirectness relative to the review question), Imprecision (serious if 95% CI crosses the null or is wider than 2 × MOI of |r| = .10), and Publication Bias (serious if Egger's test is significant at p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k of the available online-specific literature.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