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12" w:lineRule="auto"/>
      </w:pPr>
      <w:r>
        <w:rPr>
          <w:sz w:val="20"/>
        </w:rPr>
        <w:t>Eisuke Tokiwa, MEng</w:t>
      </w:r>
    </w:p>
    <w:p>
      <w:pPr>
        <w:spacing w:before="0" w:after="0" w:line="312" w:lineRule="auto"/>
      </w:pPr>
      <w:r>
        <w:rPr>
          <w:sz w:val="20"/>
        </w:rPr>
        <w:t>Founder, SUNBLAZE Co., Ltd.</w:t>
      </w:r>
    </w:p>
    <w:p>
      <w:pPr>
        <w:spacing w:before="0" w:after="0" w:line="312" w:lineRule="auto"/>
      </w:pPr>
      <w:r>
        <w:rPr>
          <w:sz w:val="20"/>
        </w:rPr>
        <w:t>Tokyo, Japan</w:t>
      </w:r>
    </w:p>
    <w:p>
      <w:pPr>
        <w:spacing w:before="0" w:after="0" w:line="312" w:lineRule="auto"/>
      </w:pPr>
      <w:r>
        <w:rPr>
          <w:sz w:val="20"/>
        </w:rPr>
        <w:t>ORCID: 0009-0009-7124-6669</w:t>
      </w:r>
    </w:p>
    <w:p>
      <w:pPr>
        <w:spacing w:before="0" w:after="0" w:line="312" w:lineRule="auto"/>
      </w:pPr>
      <w:r>
        <w:rPr>
          <w:sz w:val="20"/>
        </w:rPr>
        <w:t>Email: eisuke.tokiwa@sunblaze.jp</w:t>
      </w:r>
    </w:p>
    <w:p>
      <w:pPr>
        <w:spacing w:before="0" w:after="120" w:line="312" w:lineRule="auto"/>
      </w:pPr>
      <w:r>
        <w:rPr>
          <w:sz w:val="20"/>
        </w:rPr>
      </w:r>
    </w:p>
    <w:p>
      <w:pPr>
        <w:spacing w:before="0" w:after="120" w:line="312" w:lineRule="auto"/>
      </w:pPr>
      <w:r>
        <w:rPr>
          <w:sz w:val="20"/>
        </w:rPr>
        <w:t>June 15, 2026</w:t>
      </w:r>
    </w:p>
    <w:p>
      <w:pPr>
        <w:spacing w:before="0" w:after="120" w:line="312" w:lineRule="auto"/>
      </w:pPr>
      <w:r>
        <w:rPr>
          <w:sz w:val="20"/>
        </w:rPr>
      </w:r>
    </w:p>
    <w:p>
      <w:pPr>
        <w:spacing w:before="0" w:after="0" w:line="312" w:lineRule="auto"/>
      </w:pPr>
      <w:r>
        <w:rPr>
          <w:sz w:val="20"/>
        </w:rPr>
        <w:t>To Ms Isha Singh, Editorial Section Manager</w:t>
      </w:r>
    </w:p>
    <w:p>
      <w:pPr>
        <w:spacing w:before="0" w:after="0" w:line="312" w:lineRule="auto"/>
      </w:pPr>
      <w:r>
        <w:rPr>
          <w:sz w:val="20"/>
        </w:rPr>
        <w:t>Heliyon</w:t>
      </w:r>
    </w:p>
    <w:p>
      <w:pPr>
        <w:spacing w:before="0" w:after="0" w:line="312" w:lineRule="auto"/>
      </w:pPr>
      <w:r>
        <w:rPr>
          <w:sz w:val="20"/>
        </w:rPr>
        <w:t>Manuscript: HELIYON-D-26-02879</w:t>
      </w:r>
    </w:p>
    <w:p>
      <w:pPr>
        <w:spacing w:before="0" w:after="120" w:line="312" w:lineRule="auto"/>
      </w:pPr>
      <w:r>
        <w:rPr>
          <w:sz w:val="20"/>
        </w:rPr>
      </w:r>
    </w:p>
    <w:p>
      <w:pPr>
        <w:spacing w:before="0" w:after="120" w:line="312" w:lineRule="auto"/>
      </w:pPr>
      <w:r>
        <w:rPr>
          <w:sz w:val="22"/>
        </w:rPr>
        <w:t>Dear Ms Singh,</w:t>
      </w:r>
    </w:p>
    <w:p>
      <w:pPr>
        <w:spacing w:before="0" w:after="120" w:line="312" w:lineRule="auto"/>
      </w:pPr>
      <w:r>
        <w:rPr>
          <w:sz w:val="22"/>
        </w:rPr>
        <w:t>Please find attached the major-revision submission for Manuscript HELIYON-D-26-02879, "Big Five Personality Traits and Academic Achievement in Online Learning Environments," originally submitted as a systematic review and meta-analysis and now resubmitted as a scoping review with exploratory quantitative synthesis. I am very grateful to both reviewers for the detailed and constructive critique.</w:t>
      </w:r>
    </w:p>
    <w:p>
      <w:pPr>
        <w:spacing w:before="160" w:after="120" w:line="312" w:lineRule="auto"/>
      </w:pPr>
      <w:r>
        <w:rPr>
          <w:b/>
          <w:sz w:val="24"/>
        </w:rPr>
        <w:t>Files in this submission</w:t>
      </w:r>
    </w:p>
    <w:p>
      <w:pPr>
        <w:pStyle w:val="ListBullet"/>
        <w:spacing w:after="60"/>
      </w:pPr>
      <w:r>
        <w:rPr>
          <w:sz w:val="20"/>
        </w:rPr>
        <w:t>Revised Manuscript File – with highlights (no tracked changes): manuscript_journal_v3_scoping.docx — the reframed manuscript with revisions highlighted.</w:t>
      </w:r>
    </w:p>
    <w:p>
      <w:pPr>
        <w:pStyle w:val="ListBullet"/>
        <w:spacing w:after="60"/>
      </w:pPr>
      <w:r>
        <w:rPr>
          <w:sz w:val="20"/>
        </w:rPr>
        <w:t>response_heliyon_reviewer1_v3.docx — point-by-point response to Reviewer 1.</w:t>
      </w:r>
    </w:p>
    <w:p>
      <w:pPr>
        <w:pStyle w:val="ListBullet"/>
        <w:spacing w:after="60"/>
      </w:pPr>
      <w:r>
        <w:rPr>
          <w:sz w:val="20"/>
        </w:rPr>
        <w:t>response_heliyon_reviewer2_v3.docx — point-by-point response to Reviewer 2.</w:t>
      </w:r>
    </w:p>
    <w:p>
      <w:pPr>
        <w:pStyle w:val="ListBullet"/>
        <w:spacing w:after="60"/>
      </w:pPr>
      <w:r>
        <w:rPr>
          <w:sz w:val="20"/>
        </w:rPr>
        <w:t>prisma_scr_checklist.docx — completed PRISMA-ScR (Tricco et al., 2018) 22-item checklist (replaces the previous PRISMA 2020 27-item checklist).</w:t>
      </w:r>
    </w:p>
    <w:p>
      <w:pPr>
        <w:spacing w:before="200" w:after="120" w:line="312" w:lineRule="auto"/>
      </w:pPr>
      <w:r>
        <w:rPr>
          <w:b/>
          <w:sz w:val="24"/>
        </w:rPr>
        <w:t>Principal change: scoping-review reframing</w:t>
      </w:r>
    </w:p>
    <w:p>
      <w:pPr>
        <w:spacing w:before="0" w:after="120" w:line="312" w:lineRule="auto"/>
      </w:pPr>
      <w:r>
        <w:rPr>
          <w:sz w:val="22"/>
        </w:rPr>
        <w:t>The principal change in this revision is a reframing of the manuscript from a systematic review and meta-analysis to a scoping review with exploratory quantitative synthesis. The reframing is a direct response to the observation — raised independently in the Heliyon and Frontiers in Education review processes — that the pre-registered six-database systematic search (PubMed/MEDLINE, PsycINFO, ERIC, Web of Science, Scopus, and ProQuest Dissertations) was not executed as pre-registered. At execution time, three of the pre-registered databases (PsycINFO, Scopus, Web of Science) and ProQuest Dissertations required institutional subscription access that I could not obtain, and the providers (Clarivate, Elsevier, the American Psychological Association) do not offer individual subscriptions; the direct E-utilities, OpenAlex, and Semantic Scholar APIs were blocked by the execution environment's network allowlist. The original submission disclosed this transparently, but Heliyon Reviewer 1 reasonably observed that the resulting search is not adequate to support a systematic review and explicitly offered two honorable paths: (i) conduct the pre-registered six-database search and resubmit, or (ii) reframe as a scoping review with correspondingly modest claims. Path (i) is precluded by the combination of (a) the absence of institutional access, (b) the absence of individual subscriptions, and (c) the revision deadlines. I have therefore taken Path (ii). The new version reports the executed search honestly, adopts PRISMA-ScR (Tricco et al., 2018) as its reporting framework, repositions the quantitative meta-analytic component as an exploratory secondary analysis rather than the primary claim, and recalibrates all claims throughout.</w:t>
      </w:r>
    </w:p>
    <w:p>
      <w:pPr>
        <w:spacing w:before="160" w:after="120" w:line="312" w:lineRule="auto"/>
      </w:pPr>
      <w:r>
        <w:rPr>
          <w:b/>
          <w:sz w:val="24"/>
        </w:rPr>
        <w:t>Summary of changes</w:t>
      </w:r>
    </w:p>
    <w:p>
      <w:pPr>
        <w:pStyle w:val="ListBullet"/>
        <w:spacing w:after="60"/>
      </w:pPr>
      <w:r>
        <w:rPr>
          <w:sz w:val="20"/>
        </w:rPr>
        <w:t>Title — "A Systematic Review and Meta-Analysis" replaced with "A Scoping Review with Exploratory Quantitative Synthesis."</w:t>
      </w:r>
    </w:p>
    <w:p>
      <w:pPr>
        <w:pStyle w:val="ListBullet"/>
        <w:spacing w:after="60"/>
      </w:pPr>
      <w:r>
        <w:rPr>
          <w:sz w:val="20"/>
        </w:rPr>
        <w:t>Abstract — full rewrite using scoping-review language; the executed sources of evidence are listed honestly, the four pre-registered subscription-gated databases that were not searched are named, and the conclusions are repositioned as a charted map plus a research agenda rather than as established quantitative effect-size estimates.</w:t>
      </w:r>
    </w:p>
    <w:p>
      <w:pPr>
        <w:pStyle w:val="ListBullet"/>
        <w:spacing w:after="60"/>
      </w:pPr>
      <w:r>
        <w:rPr>
          <w:sz w:val="20"/>
        </w:rPr>
        <w:t>Methods → Information Sources — full rewrite explaining (a) what was actually searched (a Google Scholar-equivalent web interface, ERIC web search, open-access repository retrieval, forward and backward citation snowballing), (b) what could not be searched and why (no institutional access; no individual subscriptions offered by Clarivate, Elsevier, or APA; execution-environment network restrictions on E-utilities, OpenAlex, and Semantic Scholar APIs), and (c) why this gap is the basis for the scoping-review reframing rather than for an editorial fix.</w:t>
      </w:r>
    </w:p>
    <w:p>
      <w:pPr>
        <w:pStyle w:val="ListBullet"/>
        <w:spacing w:after="60"/>
      </w:pPr>
      <w:r>
        <w:rPr>
          <w:sz w:val="20"/>
        </w:rPr>
        <w:t>Reporting framework — PRISMA 2020 standards replaced with PRISMA-ScR (Tricco et al., 2018); a PRISMA-ScR 22-item checklist is provided as supplementary material in place of the previous PRISMA 2020 27-item checklist.</w:t>
      </w:r>
    </w:p>
    <w:p>
      <w:pPr>
        <w:pStyle w:val="ListBullet"/>
        <w:spacing w:after="60"/>
      </w:pPr>
      <w:r>
        <w:rPr>
          <w:sz w:val="20"/>
        </w:rPr>
        <w:t>Hypotheses — H1 through H5 reframed as Mapping Priors MP1 through MP5 in the Introduction, and as descriptive Mapping-Prior Evaluation rather than as confirmatory hypothesis tests in the Discussion.</w:t>
      </w:r>
    </w:p>
    <w:p>
      <w:pPr>
        <w:pStyle w:val="ListBullet"/>
        <w:spacing w:after="60"/>
      </w:pPr>
      <w:r>
        <w:rPr>
          <w:sz w:val="20"/>
        </w:rPr>
        <w:t>Confidence in Cumulative Evidence — the previous GRADE subsection is retained but renamed to "Completeness-of-Evidence Mapping (adapted from GRADE)" to reflect that scoping reviews typically do not invoke GRADE; the analytic content (per-trait confidence ratings) is preserved as a completeness signal.</w:t>
      </w:r>
    </w:p>
    <w:p>
      <w:pPr>
        <w:pStyle w:val="ListBullet"/>
        <w:spacing w:after="60"/>
      </w:pPr>
      <w:r>
        <w:rPr>
          <w:sz w:val="20"/>
        </w:rPr>
        <w:t>Quantitative pool naming — every reference to "primary achievement pool," "primary quantitative pool," "primary synthesis," and "Primary Pooled Effect Sizes" replaced with the corresponding "exploratory ..." variants.</w:t>
      </w:r>
    </w:p>
    <w:p>
      <w:pPr>
        <w:pStyle w:val="ListBullet"/>
        <w:spacing w:after="60"/>
      </w:pPr>
      <w:r>
        <w:rPr>
          <w:sz w:val="20"/>
        </w:rPr>
        <w:t>Tone — Conclusions, Discussion, and Limitations re-calibrated throughout to scoping-review-appropriate exploratory language; the Distinguishing Robust from Fragile Findings subsection added previously is retained.</w:t>
      </w:r>
    </w:p>
    <w:p>
      <w:pPr>
        <w:pStyle w:val="ListBullet"/>
        <w:spacing w:after="60"/>
      </w:pPr>
      <w:r>
        <w:rPr>
          <w:sz w:val="20"/>
        </w:rPr>
        <w:t>References — Tricco et al. (2018) PRISMA-ScR, Munn et al. (2018) scoping-vs-systematic decision framework, and Tett and Burnett (2003) Trait Activation Theory added to the reference list (Trait Activation Theory addresses Heliyon Reviewer 1 Comments #3 and #18 about theoretical grounding).</w:t>
      </w:r>
    </w:p>
    <w:p>
      <w:pPr>
        <w:spacing w:before="240" w:after="120" w:line="312" w:lineRule="auto"/>
      </w:pPr>
      <w:r>
        <w:rPr>
          <w:b/>
          <w:sz w:val="24"/>
        </w:rPr>
        <w:t>Closing</w:t>
      </w:r>
    </w:p>
    <w:p>
      <w:pPr>
        <w:spacing w:before="0" w:after="120" w:line="312" w:lineRule="auto"/>
      </w:pPr>
      <w:r>
        <w:rPr>
          <w:sz w:val="22"/>
        </w:rPr>
        <w:t>All remaining items raised by Reviewer 1 (placeholder text, forthcoming-OSF references, β-conversion clarification for Yu (2021), Methods-versus-Acknowledgments software inconsistency, PASH-extension labeling, theoretical-grounding through Trait Activation Theory, kappa-value reporting, Israeli-sample subgroup classification, and the minor formatting items) and all items raised by Reviewer 2 (small-pool implications, single-reviewer rationale, blended-versus-fully-online operationalisation, β-conversion limitations, publication-bias power, cautious causal language, and a tightened practical-implications subsection) are addressed in the attached point-by-point responses and in the revised manuscript.</w:t>
      </w:r>
    </w:p>
    <w:p>
      <w:pPr>
        <w:spacing w:before="120" w:after="120" w:line="312" w:lineRule="auto"/>
      </w:pPr>
      <w:r>
        <w:rPr>
          <w:sz w:val="22"/>
        </w:rPr>
        <w:t>Sincerely,</w:t>
      </w:r>
    </w:p>
    <w:p>
      <w:pPr>
        <w:spacing w:before="0" w:after="120" w:line="312" w:lineRule="auto"/>
      </w:pPr>
      <w:r>
        <w:rPr>
          <w:sz w:val="22"/>
        </w:rPr>
      </w:r>
    </w:p>
    <w:p>
      <w:pPr>
        <w:spacing w:before="0" w:after="0" w:line="312" w:lineRule="auto"/>
      </w:pPr>
      <w:r>
        <w:rPr>
          <w:sz w:val="20"/>
        </w:rPr>
        <w:t>Eisuke Tokiwa</w:t>
      </w:r>
    </w:p>
    <w:p>
      <w:pPr>
        <w:spacing w:before="0" w:after="0" w:line="312" w:lineRule="auto"/>
      </w:pPr>
      <w:r>
        <w:rPr>
          <w:sz w:val="20"/>
        </w:rPr>
        <w:t>Founder, SUNBLAZE Co., Ltd., Tokyo, Japan</w:t>
      </w:r>
    </w:p>
    <w:p>
      <w:pPr>
        <w:spacing w:before="0" w:after="0" w:line="312" w:lineRule="auto"/>
      </w:pPr>
      <w:r>
        <w:rPr>
          <w:sz w:val="20"/>
        </w:rPr>
        <w:t>ORCID: 0009-0009-7124-6669</w:t>
      </w:r>
    </w:p>
    <w:p>
      <w:pPr>
        <w:spacing w:before="0" w:after="0" w:line="312" w:lineRule="auto"/>
      </w:pPr>
      <w:r>
        <w:rPr>
          <w:sz w:val="20"/>
        </w:rPr>
        <w:t>Email: eisuke.tokiwa@sunblaze.jp</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