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12" w:lineRule="auto"/>
      </w:pPr>
      <w:r>
        <w:rPr>
          <w:sz w:val="20"/>
        </w:rPr>
        <w:t>Eisuke Tokiwa, MEng</w:t>
      </w:r>
    </w:p>
    <w:p>
      <w:pPr>
        <w:spacing w:before="0" w:after="0" w:line="312" w:lineRule="auto"/>
      </w:pPr>
      <w:r>
        <w:rPr>
          <w:sz w:val="20"/>
        </w:rPr>
        <w:t>Founder, SUNBLAZE Co., Ltd.</w:t>
      </w:r>
    </w:p>
    <w:p>
      <w:pPr>
        <w:spacing w:before="0" w:after="0" w:line="312" w:lineRule="auto"/>
      </w:pPr>
      <w:r>
        <w:rPr>
          <w:sz w:val="20"/>
        </w:rPr>
        <w:t>Tokyo, Japan</w:t>
      </w:r>
    </w:p>
    <w:p>
      <w:pPr>
        <w:spacing w:before="0" w:after="0" w:line="312" w:lineRule="auto"/>
      </w:pPr>
      <w:r>
        <w:rPr>
          <w:sz w:val="20"/>
        </w:rPr>
        <w:t>ORCID: 0009-0009-7124-6669</w:t>
      </w:r>
    </w:p>
    <w:p>
      <w:pPr>
        <w:spacing w:before="0" w:after="0" w:line="312" w:lineRule="auto"/>
      </w:pPr>
      <w:r>
        <w:rPr>
          <w:sz w:val="20"/>
        </w:rPr>
        <w:t>Email: eisuke.tokiwa@sunblaze.jp</w:t>
      </w:r>
    </w:p>
    <w:p>
      <w:pPr>
        <w:spacing w:before="0" w:after="120" w:line="312" w:lineRule="auto"/>
      </w:pPr>
      <w:r>
        <w:rPr>
          <w:sz w:val="20"/>
        </w:rPr>
      </w:r>
    </w:p>
    <w:p>
      <w:pPr>
        <w:spacing w:before="0" w:after="120" w:line="312" w:lineRule="auto"/>
      </w:pPr>
      <w:r>
        <w:rPr>
          <w:sz w:val="20"/>
        </w:rPr>
        <w:t>June 15, 2026</w:t>
      </w:r>
    </w:p>
    <w:p>
      <w:pPr>
        <w:spacing w:before="0" w:after="120" w:line="312" w:lineRule="auto"/>
      </w:pPr>
      <w:r>
        <w:rPr>
          <w:sz w:val="20"/>
        </w:rPr>
      </w:r>
    </w:p>
    <w:p>
      <w:pPr>
        <w:spacing w:before="0" w:after="0" w:line="312" w:lineRule="auto"/>
      </w:pPr>
      <w:r>
        <w:rPr>
          <w:sz w:val="20"/>
        </w:rPr>
        <w:t>To Ms Fatima Nasrin, Assistant Editor</w:t>
      </w:r>
    </w:p>
    <w:p>
      <w:pPr>
        <w:spacing w:before="0" w:after="0" w:line="312" w:lineRule="auto"/>
      </w:pPr>
      <w:r>
        <w:rPr>
          <w:sz w:val="20"/>
        </w:rPr>
        <w:t>Humanities and Social Sciences Communications</w:t>
      </w:r>
    </w:p>
    <w:p>
      <w:pPr>
        <w:spacing w:before="0" w:after="0" w:line="312" w:lineRule="auto"/>
      </w:pPr>
      <w:r>
        <w:rPr>
          <w:sz w:val="20"/>
        </w:rPr>
        <w:t>Submission ID: 72427190-7674-4b5f-ac51-9518b8c16eaf</w:t>
      </w:r>
    </w:p>
    <w:p>
      <w:pPr>
        <w:spacing w:before="0" w:after="120" w:line="312" w:lineRule="auto"/>
      </w:pPr>
      <w:r>
        <w:rPr>
          <w:sz w:val="20"/>
        </w:rPr>
      </w:r>
    </w:p>
    <w:p>
      <w:pPr>
        <w:spacing w:before="0" w:after="120" w:line="312" w:lineRule="auto"/>
      </w:pPr>
      <w:r>
        <w:rPr>
          <w:sz w:val="22"/>
        </w:rPr>
        <w:t>Dear Ms Nasrin,</w:t>
      </w:r>
    </w:p>
    <w:p>
      <w:pPr>
        <w:spacing w:before="0" w:after="120" w:line="312" w:lineRule="auto"/>
      </w:pPr>
      <w:r>
        <w:rPr>
          <w:sz w:val="22"/>
        </w:rPr>
        <w:t>This letter accompanies a voluntary author-initiated revision of Submission 72427190-7674-4b5f-ac51-9518b8c16eaf. The principal change is a structural reframing of the manuscript from a systematic review and meta-analysis to a scoping review with exploratory quantitative synthesis. The reframing was prompted by parallel peer-review feedback from Heliyon and Frontiers in Education in which the pre-registered six-database systematic search deviation — disclosed transparently in the original submission — was identified as not adequately remedied by editorial wording changes and requiring either a six-database replication search or a scoping-review reframing. Because institutional access to the subscription-gated databases is not available and the providers (Clarivate, Elsevier, the American Psychological Association) do not offer individual subscriptions, the scoping-review reframing has been chosen and is being submitted in identical form to all three active journal venues to ensure consistency.</w:t>
      </w:r>
    </w:p>
    <w:p>
      <w:pPr>
        <w:spacing w:before="200" w:after="120" w:line="312" w:lineRule="auto"/>
      </w:pPr>
      <w:r>
        <w:rPr>
          <w:b/>
          <w:sz w:val="24"/>
        </w:rPr>
        <w:t>Principal change: scoping-review reframing</w:t>
      </w:r>
    </w:p>
    <w:p>
      <w:pPr>
        <w:spacing w:before="0" w:after="120" w:line="312" w:lineRule="auto"/>
      </w:pPr>
      <w:r>
        <w:rPr>
          <w:sz w:val="22"/>
        </w:rPr>
        <w:t>The principal change in this revision is a reframing of the manuscript from a systematic review and meta-analysis to a scoping review with exploratory quantitative synthesis. The reframing is a direct response to the observation — raised independently in the Heliyon and Frontiers in Education review processes — that the pre-registered six-database systematic search (PubMed/MEDLINE, PsycINFO, ERIC, Web of Science, Scopus, and ProQuest Dissertations) was not executed as pre-registered. At execution time, three of the pre-registered databases (PsycINFO, Scopus, Web of Science) and ProQuest Dissertations required institutional subscription access that I could not obtain, and the providers (Clarivate, Elsevier, the American Psychological Association) do not offer individual subscriptions; the direct E-utilities, OpenAlex, and Semantic Scholar APIs were blocked by the execution environment's network allowlist. The original submission disclosed this transparently, but Heliyon Reviewer 1 reasonably observed that the resulting search is not adequate to support a systematic review and explicitly offered two honorable paths: (i) conduct the pre-registered six-database search and resubmit, or (ii) reframe as a scoping review with correspondingly modest claims. Path (i) is precluded by the combination of (a) the absence of institutional access, (b) the absence of individual subscriptions, and (c) the revision deadlines. I have therefore taken Path (ii). The new version reports the executed search honestly, adopts PRISMA-ScR (Tricco et al., 2018) as its reporting framework, repositions the quantitative meta-analytic component as an exploratory secondary analysis rather than the primary claim, and recalibrates all claims throughout.</w:t>
      </w:r>
    </w:p>
    <w:p>
      <w:pPr>
        <w:spacing w:before="160" w:after="120" w:line="312" w:lineRule="auto"/>
      </w:pPr>
      <w:r>
        <w:rPr>
          <w:b/>
          <w:sz w:val="24"/>
        </w:rPr>
        <w:t>Summary of changes</w:t>
      </w:r>
    </w:p>
    <w:p>
      <w:pPr>
        <w:pStyle w:val="ListBullet"/>
        <w:spacing w:after="60"/>
      </w:pPr>
      <w:r>
        <w:rPr>
          <w:sz w:val="20"/>
        </w:rPr>
        <w:t>Title — "A Systematic Review and Meta-Analysis" replaced with "A Scoping Review with Exploratory Quantitative Synthesis."</w:t>
      </w:r>
    </w:p>
    <w:p>
      <w:pPr>
        <w:pStyle w:val="ListBullet"/>
        <w:spacing w:after="60"/>
      </w:pPr>
      <w:r>
        <w:rPr>
          <w:sz w:val="20"/>
        </w:rPr>
        <w:t>Abstract — full rewrite using scoping-review language; the executed sources of evidence are listed honestly, the four pre-registered subscription-gated databases that were not searched are named, and the conclusions are repositioned as a charted map plus a research agenda rather than as established quantitative effect-size estimates.</w:t>
      </w:r>
    </w:p>
    <w:p>
      <w:pPr>
        <w:pStyle w:val="ListBullet"/>
        <w:spacing w:after="60"/>
      </w:pPr>
      <w:r>
        <w:rPr>
          <w:sz w:val="20"/>
        </w:rPr>
        <w:t>Methods → Information Sources — full rewrite explaining (a) what was actually searched (a Google Scholar-equivalent web interface, ERIC web search, open-access repository retrieval, forward and backward citation snowballing), (b) what could not be searched and why (no institutional access; no individual subscriptions offered by Clarivate, Elsevier, or APA; execution-environment network restrictions on E-utilities, OpenAlex, and Semantic Scholar APIs), and (c) why this gap is the basis for the scoping-review reframing rather than for an editorial fix.</w:t>
      </w:r>
    </w:p>
    <w:p>
      <w:pPr>
        <w:pStyle w:val="ListBullet"/>
        <w:spacing w:after="60"/>
      </w:pPr>
      <w:r>
        <w:rPr>
          <w:sz w:val="20"/>
        </w:rPr>
        <w:t>Reporting framework — PRISMA 2020 standards replaced with PRISMA-ScR (Tricco et al., 2018); a PRISMA-ScR 22-item checklist is provided as supplementary material in place of the previous PRISMA 2020 27-item checklist.</w:t>
      </w:r>
    </w:p>
    <w:p>
      <w:pPr>
        <w:pStyle w:val="ListBullet"/>
        <w:spacing w:after="60"/>
      </w:pPr>
      <w:r>
        <w:rPr>
          <w:sz w:val="20"/>
        </w:rPr>
        <w:t>Hypotheses — H1 through H5 reframed as Mapping Priors MP1 through MP5 in the Introduction, and as descriptive Mapping-Prior Evaluation rather than as confirmatory hypothesis tests in the Discussion.</w:t>
      </w:r>
    </w:p>
    <w:p>
      <w:pPr>
        <w:pStyle w:val="ListBullet"/>
        <w:spacing w:after="60"/>
      </w:pPr>
      <w:r>
        <w:rPr>
          <w:sz w:val="20"/>
        </w:rPr>
        <w:t>Confidence in Cumulative Evidence — the previous GRADE subsection is retained but renamed to "Completeness-of-Evidence Mapping (adapted from GRADE)" to reflect that scoping reviews typically do not invoke GRADE; the analytic content (per-trait confidence ratings) is preserved as a completeness signal.</w:t>
      </w:r>
    </w:p>
    <w:p>
      <w:pPr>
        <w:pStyle w:val="ListBullet"/>
        <w:spacing w:after="60"/>
      </w:pPr>
      <w:r>
        <w:rPr>
          <w:sz w:val="20"/>
        </w:rPr>
        <w:t>Quantitative pool naming — every reference to "primary achievement pool," "primary quantitative pool," "primary synthesis," and "Primary Pooled Effect Sizes" replaced with the corresponding "exploratory ..." variants.</w:t>
      </w:r>
    </w:p>
    <w:p>
      <w:pPr>
        <w:pStyle w:val="ListBullet"/>
        <w:spacing w:after="60"/>
      </w:pPr>
      <w:r>
        <w:rPr>
          <w:sz w:val="20"/>
        </w:rPr>
        <w:t>Tone — Conclusions, Discussion, and Limitations re-calibrated throughout to scoping-review-appropriate exploratory language; the Distinguishing Robust from Fragile Findings subsection added previously is retained.</w:t>
      </w:r>
    </w:p>
    <w:p>
      <w:pPr>
        <w:pStyle w:val="ListBullet"/>
        <w:spacing w:after="60"/>
      </w:pPr>
      <w:r>
        <w:rPr>
          <w:sz w:val="20"/>
        </w:rPr>
        <w:t>References — Tricco et al. (2018) PRISMA-ScR, Munn et al. (2018) scoping-vs-systematic decision framework, and Tett and Burnett (2003) Trait Activation Theory added to the reference list (Trait Activation Theory addresses Heliyon Reviewer 1 Comments #3 and #18 about theoretical grounding).</w:t>
      </w:r>
    </w:p>
    <w:p>
      <w:pPr>
        <w:spacing w:before="200" w:after="120" w:line="312" w:lineRule="auto"/>
      </w:pPr>
      <w:r>
        <w:rPr>
          <w:b/>
          <w:sz w:val="24"/>
        </w:rPr>
        <w:t>Files included</w:t>
      </w:r>
    </w:p>
    <w:p>
      <w:pPr>
        <w:pStyle w:val="ListBullet"/>
        <w:spacing w:after="60"/>
      </w:pPr>
      <w:r>
        <w:rPr>
          <w:sz w:val="20"/>
        </w:rPr>
        <w:t>manuscript_journal_v3_scoping_anonymous.docx — the reframed and anonymised manuscript.</w:t>
      </w:r>
    </w:p>
    <w:p>
      <w:pPr>
        <w:pStyle w:val="ListBullet"/>
        <w:spacing w:after="60"/>
      </w:pPr>
      <w:r>
        <w:rPr>
          <w:sz w:val="20"/>
        </w:rPr>
        <w:t>prisma_scr_checklist_anon.docx — completed PRISMA-ScR (Tricco et al., 2018) checklist, anonymised.</w:t>
      </w:r>
    </w:p>
    <w:p>
      <w:pPr>
        <w:pStyle w:val="ListBullet"/>
        <w:spacing w:after="60"/>
      </w:pPr>
      <w:r>
        <w:rPr>
          <w:sz w:val="20"/>
        </w:rPr>
        <w:t>search_strategy_anon.docx — executed search log including the honest disclosure of unexecuted pre-registered databases.</w:t>
      </w:r>
    </w:p>
    <w:p>
      <w:pPr>
        <w:pStyle w:val="ListBullet"/>
        <w:spacing w:after="60"/>
      </w:pPr>
      <w:r>
        <w:rPr>
          <w:sz w:val="20"/>
        </w:rPr>
        <w:t>declaration_of_interest_anon.docx — anonymised declaration of interest (retained from the previous submission).</w:t>
      </w:r>
    </w:p>
    <w:p>
      <w:pPr>
        <w:pStyle w:val="ListBullet"/>
        <w:spacing w:after="60"/>
      </w:pPr>
      <w:r>
        <w:rPr>
          <w:sz w:val="20"/>
        </w:rPr>
        <w:t>cover_letter_hssc_v3.docx (this file) — non-anonymous cover letter, the only file in this submission carrying author identifying information.</w:t>
      </w:r>
    </w:p>
    <w:p>
      <w:pPr>
        <w:spacing w:before="120" w:after="120" w:line="312" w:lineRule="auto"/>
      </w:pPr>
      <w:r>
        <w:rPr>
          <w:sz w:val="22"/>
        </w:rPr>
        <w:t>Sincerely,</w:t>
      </w:r>
    </w:p>
    <w:p>
      <w:pPr>
        <w:spacing w:before="0" w:after="120" w:line="312" w:lineRule="auto"/>
      </w:pPr>
      <w:r>
        <w:rPr>
          <w:sz w:val="22"/>
        </w:rPr>
      </w:r>
    </w:p>
    <w:p>
      <w:pPr>
        <w:spacing w:before="0" w:after="0" w:line="312" w:lineRule="auto"/>
      </w:pPr>
      <w:r>
        <w:rPr>
          <w:sz w:val="20"/>
        </w:rPr>
        <w:t>Eisuke Tokiwa</w:t>
      </w:r>
    </w:p>
    <w:p>
      <w:pPr>
        <w:spacing w:before="0" w:after="0" w:line="312" w:lineRule="auto"/>
      </w:pPr>
      <w:r>
        <w:rPr>
          <w:sz w:val="20"/>
        </w:rPr>
        <w:t>Founder, SUNBLAZE Co., Ltd., Tokyo, Japan</w:t>
      </w:r>
    </w:p>
    <w:p>
      <w:pPr>
        <w:spacing w:before="0" w:after="0" w:line="312" w:lineRule="auto"/>
      </w:pPr>
      <w:r>
        <w:rPr>
          <w:sz w:val="20"/>
        </w:rPr>
        <w:t>ORCID: 0009-0009-7124-6669</w:t>
      </w:r>
    </w:p>
    <w:p>
      <w:pPr>
        <w:spacing w:before="0" w:after="0" w:line="312" w:lineRule="auto"/>
      </w:pPr>
      <w:r>
        <w:rPr>
          <w:sz w:val="20"/>
        </w:rPr>
        <w:t>Email: eisuke.tokiwa@sunblaze.jp</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