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Three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fully accounted for by mediating constructs such as self-efficacy and self-regulation, or does it exhibit direct effects beyond these mediators? Because the evidence base is small and the executed search is incomplete relative to the pre-registered information-source plan, all three mapping questions are addressed descriptively rather than as confirmatory tests.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consistent with Mapping Prior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consistent with the descriptive direction of MP1,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Mapping Prior 5 (MP5),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Mapping Prior 3 (MP3), which predicted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Mapping Prior 4 (MP4), which expected a negative effect more pronounced in fully online than in blended modalities; MP4 was not consistent with the evidence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MP4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Mapping Prior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Mapping Prior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MP1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Mapping Prior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MP2 is not supported. The prediction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Mapping Prior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MP4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Mapping Prior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exploratory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exploratory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Completeness-of-Evidence Summary: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PRISMA-ScR-style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PRISMA-ScR statement (Tricco et al., 2018)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