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Scoping Review with Exploratory Quantitative Synthesis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scoping review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study is a scoping review with exploratory quantitative synthesis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PRISMA-ScR reporting guidelines for systematic and scoping reviews. Ethical approval for each of the included primary studies was the responsibility of the original investigators of those studies, as documented in their respective publications.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 This scoping review with exploratory quantitative synthesis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Human Ethics and Consent to Participate Declarations</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scoping review with exploratory quantitative synthesis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and screening decisions; 04_extraction (https://doi.org/10.17605/OSF.IO/5UW98) — data extraction CSV and coding manual; 05_risk_of_bias (https://doi.org/10.17605/OSF.IO/3XYNE) — JBI risk-of-bias ratings for each included study;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scoping review maps the available evidence on the Big Five-achievement association specifically in online, blended, and MOOC learning environments and provides an exploratory quantitative synthesis of the subset of studies amenable to meta-analysis. Following the PRISMA-ScR extension for scoping reviews (Tricco et al., 2018), the evidence base was charted via a targeted web-based search and open-access repository retrieval — the pre-registered subscription-gated bibliographic databases (PsycINFO, Scopus, Web of Science, ProQuest Dissertations) could not be accessed in the execution environment and are not searched here, a limitation discussed transparently throughout. 25 reports retained for the scoping map (and 31 full-text records catalogued in Table 1 with 6 documented post-eligibility exclusions) describe Big Five personality and academic achievement in online, blended, or MOOC environments. Ten of these contributed direct or β-converted Pearson correlations to an exploratory quantitative pool (pooled </w:t>
      </w:r>
      <w:r>
        <w:rPr>
          <w:rFonts w:ascii="Times New Roman" w:hAnsi="Times New Roman" w:eastAsia="Times New Roman"/>
          <w:i/>
          <w:sz w:val="24"/>
        </w:rPr>
        <w:t>N</w:t>
      </w:r>
      <w:r>
        <w:rPr>
          <w:rFonts w:ascii="Times New Roman" w:hAnsi="Times New Roman" w:eastAsia="Times New Roman"/>
          <w:sz w:val="24"/>
        </w:rPr>
        <w:t xml:space="preserve"> = 3,384),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Within this small and potentially incomplete map, Conscientiousness showed the largest exploratory pooled estimate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Pre-registered exploratory subgroup contrasts described large between-group differences on Extraversion — by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by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 but rest on as few as two studies per subgroup and should be treated as descriptive observations within the scoping map rather than as confirmatory tests of interaction. The map is broadly consistent with the Personality-Achievement Saturation Hypothesis (Meyer et al., 2023) tentatively extended to technology-mediated learning, but the small mappable pool (</w:t>
      </w:r>
      <w:r>
        <w:rPr>
          <w:rFonts w:ascii="Times New Roman" w:hAnsi="Times New Roman" w:eastAsia="Times New Roman"/>
          <w:i/>
          <w:sz w:val="24"/>
        </w:rPr>
        <w:t>k</w:t>
      </w:r>
      <w:r>
        <w:rPr>
          <w:rFonts w:ascii="Times New Roman" w:hAnsi="Times New Roman" w:eastAsia="Times New Roman"/>
          <w:sz w:val="24"/>
        </w:rPr>
        <w:t xml:space="preserve"> = 10), the limited reach of the executed search, and wide prediction intervals (which include zero for most traits) mean this consistency does not constitute confirmation. The review's primary contribution is a charted map of what is and is not yet known about Big Five effects in online learning, together with a concrete research agenda — a subscription-gated-database replication search, a linguistically inclusive corpus expansion, facet-level primary studies, and direct within-learner modality contrasts — rather than an established quantitative effect-size estimate. The exploratory pooled estimates and subgroup contrasts should not be used as a basis for pedagogical or design recommendations on the present evidence base.</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scoping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 to the author's knowledge,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scoping review with exploratory quantitative synthesis is, to our knowledge, the first scoping mapping of the association between Big Five personality traits and academic achievement that focuses specifically on online learning environments. Consistent with PRISMA-ScR convention (Tricco et al., 2018), the review is organised around mapping questions and directional priors rather than around hypothesis tests. Three mapping questions are addressed. First (MQ1), how large is the available pooled estimate of the association between each Big Five trait and academic achievement in online learning environments within the mappable evidence base, and how does this estimate compare with published face-to-face benchmarks? Second (MQ2), does the association vary descriptively across learning modality, education level, region, era, outcome type, and personality instrument within the mappable evidence base? Third (MQ3), is the personality-achievement association in online environments fully accounted for by mediating constructs such as self-efficacy and self-regulation, or does it exhibit direct effects beyond these mediators? Because the evidence base is small and the executed search is incomplete relative to the pre-registered information-source plan, all three mapping questions are addressed descriptively rather than as confirmatory tests.</w:t>
      </w:r>
    </w:p>
    <w:p>
      <w:pPr>
        <w:spacing w:line="480" w:lineRule="auto" w:before="0" w:after="0"/>
        <w:ind w:firstLine="720"/>
      </w:pPr>
      <w:r>
        <w:rPr>
          <w:rFonts w:ascii="Times New Roman" w:hAnsi="Times New Roman" w:eastAsia="Times New Roman"/>
          <w:sz w:val="24"/>
        </w:rPr>
        <w:t xml:space="preserve">Five directional priors, pre-specified in the OSF registration (https://osf.io/e5w47/) as hypotheses, are reframed here as mapping priors (MP1 through MP5) that describe expectations against which the mapped evidence can be compared descriptively. Mapping Prior 1 (MP1) states that Conscientiousness is expected to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Mapping Prior 2 (MP2) states that Openness is expected to show the second-strongest positive correlation, potentially stronger than in face-to-face contexts, reflecting the premium placed on self-directed exploration in online environments. Mapping Prior 3 (MP3) states that Agreeableness is expected to show a small positive correlation, potentially weaker than in face-to-face contexts because cooperative group behaviors are less central in asynchronous online environments. Mapping Prior 4 (MP4) states that Neuroticism is expected to show a negative correlation, more pronounced in fully online than in blended modalities, reflecting the isolating and technology-mediated nature of fully online environments. Mapping Prior 5 (MP5) states that Extraversion is expected to show a null or weak negative correlation, with possible facet-level cancellation between sociability (expected negative) and assertiveness (expected positive) components, reflecting the reduced social presence of online environments. Mapping Priors MP2, MP4, and MP5 constitute the modality-specific contribution of this review, as they describe expected modality-related divergences from established patterns observed in face-to-face meta-analyses; the review evaluates the available evidence descriptively against these priors rather than performing formal hypothesis tests.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 to the author's knowledge, the first scoping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scoping review with exploratory quantitative synthesis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Scoping Review with Exploratory Quantitative Synthesis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PRISMA-ScR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Scoping reviews are designed to map the available evidence on a topic — including its breadth, conceptual boundaries, methodological characteristics, and gaps — rather than to provide an exhaustive synthesis of every relevant primary study (Munn et al., 2018; Tricco et al., 2018). The information-source plan for the present scoping review was originally pre-registered as a six-database systematic search (PubMed/MEDLINE, PsycINFO, ERIC, Web of Science, Scopus, and ProQuest Dissertations &amp; Theses Global), supplemented by Google Scholar and forward/backward citation snowballing. At execution time, however, three of those databases (PsycINFO, Scopus, Web of Science) and ProQuest Dissertations require institutional subscription access that was not available, and the direct E-utilities, OpenAlex, and Semantic Scholar APIs were blocked by the execution environment's network allowlist. Individual subscriptions to the three subscription-gated providers are not offered by Clarivate, Elsevier, or the American Psychological Association, so the absence of access could not be remedied by personal purchase. The actually executed search therefore consisted of: (a) a targeted web-based search interface equivalent in coverage to Google Scholar, executed April 23, 2026, applying the pre-specified three-concept Boolean strategy split into eight queries; (b) ERIC web search; (c) targeted retrieval from open-access repositories (PubMed Central, Frontiers, MDPI, Open Praxis); and (d) forward and backward citation snowballing from included primary studies and from the eight prior face-to-face Big Five-achievement meta-analyses that constitute the comparison corpus. Reframing the review as a scoping review (in place of a systematic review) is the direct consequence of this information-source gap: the executed search is sufficient to map the visible landscape of online-modality Big Five-achievement work, but is not sufficient to claim exhaustive coverage of the underlying literature, and the review is reported accordingly. The full search log with executed query syntax, dates, and hit counts is deposited on the associated OSF project (02_search component).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PRISMA-ScR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exploratory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exploratory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exploratory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Completeness-of-Evidence Mapping (adapted from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 re-framed as a completeness-of-evidence mapping for this scoping review —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exploratory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exploratory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exploratory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exploratory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exploratory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 xml:space="preserve">All quantitative analyses were performed in Python (version ≥ 3.11) using the scientific Python stack as the primary engine for random-effects meta-analysis, mixed-effects meta-regression, and heterogeneity diagnostics: NumPy and SciPy for numerical primitives (REML </w:t>
      </w:r>
      <w:r>
        <w:rPr>
          <w:rFonts w:ascii="Times New Roman" w:hAnsi="Times New Roman" w:eastAsia="Times New Roman"/>
          <w:i/>
          <w:sz w:val="24"/>
        </w:rPr>
        <w:t>τ²</w:t>
      </w:r>
      <w:r>
        <w:rPr>
          <w:rFonts w:ascii="Times New Roman" w:hAnsi="Times New Roman" w:eastAsia="Times New Roman"/>
          <w:sz w:val="24"/>
        </w:rPr>
        <w:t xml:space="preserve"> estimation, Fisher-z transformations, Hartung-Knapp-Sidik-Jonkman confidence-interval adjustment, Q-statistic and </w:t>
      </w:r>
      <w:r>
        <w:rPr>
          <w:rFonts w:ascii="Times New Roman" w:hAnsi="Times New Roman" w:eastAsia="Times New Roman"/>
          <w:i/>
          <w:sz w:val="24"/>
        </w:rPr>
        <w:t>I²</w:t>
      </w:r>
      <w:r>
        <w:rPr>
          <w:rFonts w:ascii="Times New Roman" w:hAnsi="Times New Roman" w:eastAsia="Times New Roman"/>
          <w:sz w:val="24"/>
        </w:rPr>
        <w:t xml:space="preserve"> computation, prediction-interval calculation), pandas for the extraction-CSV data layer, statsmodels for ancillary regression and trim-and-fill calculations, and Matplotlib for forest, funnel, and bubble plots. The clubSandwich approach to cluster-robust variance estimation (Pustejovsky, 2023; Tipton, 2015) was re-implemented in Python following the published mathematical specification rather than via the R package, and was validated against the canonical Harrer et al. (2021) worked examples. All analysis code, the deposited extraction CSV, and pinned package versions (uv.lock) are deposited on the associated OSF project (https://doi.org/10.17605/OSF.IO/79M5J), specifically in the 06_analysis component (https://doi.org/10.17605/OSF.IO/Q4XKB), and are mirrored at https://github.com/etoki/paper for version control. Any interested researcher can reproduce every analytic step reported in this paper from the deposited extraction CSV and the Python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PRISMA-ScR-style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exploratory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exploratory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scoping-retained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exploratory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exploratory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exploratory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exploratory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exploratory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Exploratory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consistent with Mapping Prior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consistent with the descriptive direction of MP1,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Mapping Prior 5 (MP5),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Mapping Prior 3 (MP3), which predicted a weaker Agreeableness effect in online than in face-to-face contexts. Within the exploratory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exploratory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Mapping Prior 4 (MP4), which expected a negative effect more pronounced in fully online than in blended modalities; MP4 was not consistent with the evidence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exploratory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MP4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exploratory quantitative pool (the 4 post-COVID studies in the scoping-synthesis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exploratory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Mapping Prior 5, further supporting the hypothesis when asymmetry is considered. Trim-and-fill adjusted estimates are reported as a sensitivity check only and do not replace the exploratory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Completeness-of-Evidence Summary</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MP5,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scoping review with exploratory quantitative synthesis provides , to the author's knowledge,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exploratory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exploratory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Mapping Prior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MP1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Mapping Prior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MP2 is not supported. The prediction that online environments would amplify the Openness effect through a premium on self-directed exploration was not borne out; the failure to support MP2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Mapping Prior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exploratory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exploratory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Mapping Prior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MP4 — an overall negative pooled effect — is not supported by the primary analysis. The second component of MP4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MP4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Mapping Prior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MP5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 to the author's knowledge,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MP5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large between-group differences in the Region × Extraversion subgroup contrast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&lt; .001) and the Outcome-Type × Extraversion subgroup contrast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&lt; .001), contributes a more nuanced descriptive picture of how social presence and cultural context appear to moderate personality-achievement associations. We emphasise that both subgroup contrasts are based on a very small number of studies per level (in some cases two to three) and that the same small set of studies enters both contrasts; the contrasts should therefore be read as exploratory descriptive patterns rather than as confirmatory tests of interaction.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appears to decompose into a negative effect in Asian samples and objective outcomes and a positive effect in self-rated outcomes. This pattern is consistent with two exploratory hypotheses — (a) that extraverts may be disadvantaged in collectivistic online contexts where social interaction is most constrained, and (b) that self-rated performance may be subject to an extraversion-linked self-enhancement bias — but the present evidence base is too small to discriminate between these explanations and alternative explanations (sampling, instrument, or outcome-domain confounds). The descriptive Outcome-Type contrast is a potentially useful methodological observation, in that it suggests prior single-outcome studies may have produced divergent Extraversion estimates partly because they differentially sampled objective vs. self-rated indicators; this descriptive pattern would, however, need confirmation in primary research that simultaneously collects both outcome types within the same learners. The descriptive pattern is directionally consistent with person-environment fit models of personality expression in technology-mediated contexts and with self-enhancement models of self-report methodology (Paulhus, 1998), but cannot by itself be taken as evidence for either model.</w:t>
      </w:r>
    </w:p>
    <w:p>
      <w:pPr>
        <w:spacing w:line="480" w:lineRule="auto" w:before="0" w:after="0"/>
        <w:ind w:firstLine="720"/>
      </w:pPr>
      <w:r>
        <w:rPr>
          <w:rFonts w:ascii="Times New Roman" w:hAnsi="Times New Roman" w:eastAsia="Times New Roman"/>
          <w:sz w:val="24"/>
        </w:rPr>
        <w:t xml:space="preserve">Third, the descriptive cultural moderator patterns — a directionally amplified Agreeableness estimate and a directionally negative Extraversion estimate in Asian samples — are directionally consistent with face-to-face cultural-moderator findings reported by Mammadov (2022) and Chen et al. (2025), but the present online </w:t>
      </w:r>
      <w:r>
        <w:rPr>
          <w:rFonts w:ascii="Times New Roman" w:hAnsi="Times New Roman" w:eastAsia="Times New Roman"/>
          <w:i/>
          <w:sz w:val="24"/>
        </w:rPr>
        <w:t>k</w:t>
      </w:r>
      <w:r>
        <w:rPr>
          <w:rFonts w:ascii="Times New Roman" w:hAnsi="Times New Roman" w:eastAsia="Times New Roman"/>
          <w:sz w:val="24"/>
        </w:rPr>
        <w:t xml:space="preserve"> is too small to constitute replication in any strong sense. The Asian Agreeableness pooled estimate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and the larger pooled Agreeableness estimate is itself fragile to the exclusion of the single Chinese MOOC sample (Yu, 2021) that dominates the Asian subset. At most, the present synthesis can be read as offering directional consistency with the proposition that the cultural mechanism documented in face-to-face syntheses (individualism vs. collectivism; competitive vs. cooperative classroom norms) may also operate in online environments. The tentative implications for online course design in East Asian institutional contexts are addressed cautiously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exploratory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Tentative Practical Implications</w:t>
      </w:r>
    </w:p>
    <w:p>
      <w:pPr>
        <w:spacing w:line="480" w:lineRule="auto" w:before="0" w:after="0"/>
        <w:ind w:firstLine="720"/>
      </w:pPr>
      <w:r>
        <w:rPr>
          <w:rFonts w:ascii="Times New Roman" w:hAnsi="Times New Roman" w:eastAsia="Times New Roman"/>
          <w:sz w:val="24"/>
        </w:rPr>
        <w:t>We note up front that the practical implications below are best read as tentative working hypotheses rather than as actionable design or pedagogical recommendations. The exploratory achievement pool is small (</w:t>
      </w:r>
      <w:r>
        <w:rPr>
          <w:rFonts w:ascii="Times New Roman" w:hAnsi="Times New Roman" w:eastAsia="Times New Roman"/>
          <w:i/>
          <w:sz w:val="24"/>
        </w:rPr>
        <w:t>k</w:t>
      </w:r>
      <w:r>
        <w:rPr>
          <w:rFonts w:ascii="Times New Roman" w:hAnsi="Times New Roman" w:eastAsia="Times New Roman"/>
          <w:sz w:val="24"/>
        </w:rPr>
        <w:t xml:space="preserve"> = 10), heterogeneity is moderate to high for most traits, prediction intervals cross zero for all traits except Conscientiousness, and the two moderator contrasts that drive the modality-related implications below rest on a very small number of studies per subgroup (in some cases two to three). Practitioners and educational technology developers should not use the present synthesis as a sole basis for design or instructional decisions, and any of the implications below should be validated against larger and more linguistically inclusive future syntheses before being operationalised.</w:t>
      </w:r>
    </w:p>
    <w:p>
      <w:pPr>
        <w:spacing w:line="480" w:lineRule="auto" w:before="0" w:after="0"/>
        <w:ind w:firstLine="720"/>
      </w:pPr>
      <w:r>
        <w:rPr>
          <w:rFonts w:ascii="Times New Roman" w:hAnsi="Times New Roman" w:eastAsia="Times New Roman"/>
          <w:sz w:val="24"/>
        </w:rPr>
        <w:t>Subject to those caveats, the preserved (albeit slightly reduced) Conscientiousness effect (</w:t>
      </w:r>
      <w:r>
        <w:rPr>
          <w:rFonts w:ascii="Times New Roman" w:hAnsi="Times New Roman" w:eastAsia="Times New Roman"/>
          <w:i/>
          <w:sz w:val="24"/>
        </w:rPr>
        <w:t>r</w:t>
      </w:r>
      <w:r>
        <w:rPr>
          <w:rFonts w:ascii="Times New Roman" w:hAnsi="Times New Roman" w:eastAsia="Times New Roman"/>
          <w:sz w:val="24"/>
        </w:rPr>
        <w:t xml:space="preserve"> = .167) is consistent with the broadly held expectation that features supporting self-regulated learning—structured scheduling tools, progress tracking, deadline reminders, and LMS engagement analytics—are likely to benefit learners who are lower in Conscientiousness. This is also the implication that draws on the most stable finding in the present synthesis (Conscientiousness is the only trait whose 95% prediction interval does not include zero), and is therefore the implication for which the present evidence base provides the least tentative support.</w:t>
      </w:r>
    </w:p>
    <w:p>
      <w:pPr>
        <w:spacing w:line="480" w:lineRule="auto" w:before="0" w:after="0"/>
        <w:ind w:firstLine="720"/>
      </w:pPr>
      <w:r>
        <w:rPr>
          <w:rFonts w:ascii="Times New Roman" w:hAnsi="Times New Roman" w:eastAsia="Times New Roman"/>
          <w:sz w:val="24"/>
        </w:rPr>
        <w:t>The exploratory subgroup finding that the Extraversion-achievement association is negative in Asian samples and in objective outcomes — and positive in non-Asian samples and in self-rated outcomes — may be hypothesised, on the present evidence, to imply that (a) intentional incorporation of synchronous elements in fully asynchronous Asian-context courses may partially restore the social channels through which extraverted learners express engagement, and (b) self-rated performance metrics in online contexts may be subject to extraversion-related self-enhancement and should be triangulated with objective indicators where possible. We emphasise, however, that the Region and Outcome-Type subgroup contrasts are based on as few as two studies per level on at least one side of the contrast; that the Asian subset includes Middle Eastern samples whose theoretical positioning relative to East Asian collectivism is debated; and that the English-language restriction means a non-trivial fraction of the underlying Asian-context literature was implicitly excluded. These implications should therefore be treated as exploratory leads for primary-research replication rather than as established practical guidance.</w:t>
      </w:r>
    </w:p>
    <w:p>
      <w:pPr>
        <w:spacing w:line="480" w:lineRule="auto" w:before="0" w:after="0"/>
        <w:ind w:firstLine="720"/>
      </w:pPr>
      <w:r>
        <w:rPr>
          <w:rFonts w:ascii="Times New Roman" w:hAnsi="Times New Roman" w:eastAsia="Times New Roman"/>
          <w:sz w:val="24"/>
        </w:rPr>
        <w:t>The larger-than-expected Agreeableness pooled estimate (</w:t>
      </w:r>
      <w:r>
        <w:rPr>
          <w:rFonts w:ascii="Times New Roman" w:hAnsi="Times New Roman" w:eastAsia="Times New Roman"/>
          <w:i/>
          <w:sz w:val="24"/>
        </w:rPr>
        <w:t>r</w:t>
      </w:r>
      <w:r>
        <w:rPr>
          <w:rFonts w:ascii="Times New Roman" w:hAnsi="Times New Roman" w:eastAsia="Times New Roman"/>
          <w:sz w:val="24"/>
        </w:rPr>
        <w:t xml:space="preserve"> = .112) is driven primarily by a single Chinese MOOC sample (Yu, 2021); the pre-specified single-study leave-one-out sensitivity analysis showed that excluding this study substantially attenuates the Agreeableness effect. The Agreeableness finding is therefore one of the most fragile in the synthesis and should not, by itself, motivate cooperative-learning design recommendations. Convergent narrative evidence from other East Asian and Israeli studies is directionally consistent but not by itself sufficient to establish a robust cooperative-learning implication. The failure to support an amplified Openness effect suggests, tentatively, that exploration-oriented features of online environments do not currently translate into consistent achievement advantages for high-Openness learners — possibly reflecting the standardization of online assessment and the constrained range of exploration afforded by most institutional LMS platforms — but this null is itself based on a very small exploratory pool and should be revisited as the literature grows.</w:t>
      </w:r>
    </w:p>
    <w:p>
      <w:pPr>
        <w:pStyle w:val="Heading2"/>
        <w:spacing w:line="480" w:lineRule="auto" w:before="0" w:after="0"/>
      </w:pPr>
      <w:r>
        <w:t>Distinguishing Robust from Fragile Findings</w:t>
      </w:r>
    </w:p>
    <w:p>
      <w:pPr>
        <w:spacing w:line="480" w:lineRule="auto" w:before="0" w:after="0"/>
        <w:ind w:firstLine="720"/>
      </w:pPr>
      <w:r>
        <w:rPr>
          <w:rFonts w:ascii="Times New Roman" w:hAnsi="Times New Roman" w:eastAsia="Times New Roman"/>
          <w:sz w:val="24"/>
        </w:rPr>
        <w:t>Given the small exploratory pool, the wide prediction intervals around most pooled estimates, and the fact that several findings change appreciably under pre-specified sensitivity analyses, it is important to distinguish in the discussion above between findings that are relatively robust across analytic choices and findings that are fragile and dependent on specific decisions about effect-size conversion, individual study inclusion, or moderator coding.</w:t>
      </w:r>
    </w:p>
    <w:p>
      <w:pPr>
        <w:spacing w:line="480" w:lineRule="auto" w:before="0" w:after="0"/>
        <w:ind w:firstLine="720"/>
      </w:pPr>
      <w:r>
        <w:rPr>
          <w:rFonts w:ascii="Times New Roman" w:hAnsi="Times New Roman" w:eastAsia="Times New Roman"/>
          <w:sz w:val="24"/>
        </w:rPr>
        <w:t xml:space="preserve">The most robust finding is the positive Conscientiousness-achievement association (pooled </w:t>
      </w:r>
      <w:r>
        <w:rPr>
          <w:rFonts w:ascii="Times New Roman" w:hAnsi="Times New Roman" w:eastAsia="Times New Roman"/>
          <w:i/>
          <w:sz w:val="24"/>
        </w:rPr>
        <w:t>r</w:t>
      </w:r>
      <w:r>
        <w:rPr>
          <w:rFonts w:ascii="Times New Roman" w:hAnsi="Times New Roman" w:eastAsia="Times New Roman"/>
          <w:sz w:val="24"/>
        </w:rPr>
        <w:t xml:space="preserve"> = .167). Conscientiousness is the only trait whose 95% prediction interval does not include zero, the pooled estimate is stable under the leave-one-out, β-conversion-exclusion, risk-of-bias-exclusion, and author's-own-study-exclusion sensitivity analyses, and the direction and approximate magnitude are convergent with all eight prior face-to-face meta-analyses (range </w:t>
      </w:r>
      <w:r>
        <w:rPr>
          <w:rFonts w:ascii="Times New Roman" w:hAnsi="Times New Roman" w:eastAsia="Times New Roman"/>
          <w:i/>
          <w:sz w:val="24"/>
        </w:rPr>
        <w:t>ρ</w:t>
      </w:r>
      <w:r>
        <w:rPr>
          <w:rFonts w:ascii="Times New Roman" w:hAnsi="Times New Roman" w:eastAsia="Times New Roman"/>
          <w:sz w:val="24"/>
        </w:rPr>
        <w:t xml:space="preserve"> = .19–.28). Although the online magnitude is somewhat attenuated relative to these face-to-face benchmarks — a feature of the data that is consistent with the Personality-Achievement Saturation Hypothesis — the positivity and approximate size of the Conscientiousness effect should be regarded as a relatively robust feature of the present synthesis.</w:t>
      </w:r>
    </w:p>
    <w:p>
      <w:pPr>
        <w:spacing w:line="480" w:lineRule="auto" w:before="0" w:after="0"/>
        <w:ind w:firstLine="720"/>
      </w:pPr>
      <w:r>
        <w:rPr>
          <w:rFonts w:ascii="Times New Roman" w:hAnsi="Times New Roman" w:eastAsia="Times New Roman"/>
          <w:sz w:val="24"/>
        </w:rPr>
        <w:t>By contrast, the following findings are fragile and should be treated with substantially greater caution: (i) the pooled Agreeableness estimate (</w:t>
      </w:r>
      <w:r>
        <w:rPr>
          <w:rFonts w:ascii="Times New Roman" w:hAnsi="Times New Roman" w:eastAsia="Times New Roman"/>
          <w:i/>
          <w:sz w:val="24"/>
        </w:rPr>
        <w:t>r</w:t>
      </w:r>
      <w:r>
        <w:rPr>
          <w:rFonts w:ascii="Times New Roman" w:hAnsi="Times New Roman" w:eastAsia="Times New Roman"/>
          <w:sz w:val="24"/>
        </w:rPr>
        <w:t xml:space="preserve"> = .112), which is driven primarily by a single Chinese MOOC sample (Yu, 2021) and attenuates appreciably in the leave-one-out sensitivity analysis; (ii) the null Extraversion pooled estimate (</w:t>
      </w:r>
      <w:r>
        <w:rPr>
          <w:rFonts w:ascii="Times New Roman" w:hAnsi="Times New Roman" w:eastAsia="Times New Roman"/>
          <w:i/>
          <w:sz w:val="24"/>
        </w:rPr>
        <w:t>r</w:t>
      </w:r>
      <w:r>
        <w:rPr>
          <w:rFonts w:ascii="Times New Roman" w:hAnsi="Times New Roman" w:eastAsia="Times New Roman"/>
          <w:sz w:val="24"/>
        </w:rPr>
        <w:t xml:space="preserve"> = .002), which masks high between-subgroup heterogeneity and changes sign in the Region and Outcome-Type subgroups; (iii) the Extraversion × Region and Extraversion × Outcome Type subgroup contrasts themselves, which rest on as few as two studies per subgroup on at least one side and which involve the same set of small studies entering both contrasts; and (iv) the pooled estimates for Openness and Neuroticism, both of which have prediction intervals crossing zero by a wide margin and whose direction or magnitude shift under the β-conversion-exclusion sensitivity analysis. Readers should interpret discussion points that depend on these fragile findings — including the Agreeableness-cooperation hypothesis, the Asian-Extraversion-design hypothesis, and the Outcome-Type-self-enhancement hypothesis above — as exploratory rather than confirmatory, and should not assign them the same weight in narrative synthesis as the more robust Conscientiousness finding.</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scoping mapping of the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substantive limitations that materially constrain the strength of the conclusions and that should be kept in mind by readers. First, the number of primary studies contributing to the pooled achievement analyses (</w:t>
      </w:r>
      <w:r>
        <w:rPr>
          <w:rFonts w:ascii="Times New Roman" w:hAnsi="Times New Roman" w:eastAsia="Times New Roman"/>
          <w:i/>
          <w:sz w:val="24"/>
        </w:rPr>
        <w:t>k</w:t>
      </w:r>
      <w:r>
        <w:rPr>
          <w:rFonts w:ascii="Times New Roman" w:hAnsi="Times New Roman" w:eastAsia="Times New Roman"/>
          <w:sz w:val="24"/>
        </w:rPr>
        <w:t xml:space="preserve"> = 10, with 6 contributing direct Pearson correlations and 4 contributing β-converted correlations via the Peterson and Brown (2005) transformation) is at the lower bound of what is generally considered adequate for robust random-effects estimation (Borenstein et al., 2021). With a exploratory pool of this size, pooled estimates are unstable, heterogeneity is poorly estimated, prediction intervals are wide, and the present synthesis must be regarded as preliminary rather than definitive.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fell below the recommended threshold for several moderators, necessitating narrative rather than quantitative reporting for those analyses. Where moderator subgroup analyses were conducted, the very small </w:t>
      </w:r>
      <w:r>
        <w:rPr>
          <w:rFonts w:ascii="Times New Roman" w:hAnsi="Times New Roman" w:eastAsia="Times New Roman"/>
          <w:i/>
          <w:sz w:val="24"/>
        </w:rPr>
        <w:t>k</w:t>
      </w:r>
      <w:r>
        <w:rPr>
          <w:rFonts w:ascii="Times New Roman" w:hAnsi="Times New Roman" w:eastAsia="Times New Roman"/>
          <w:sz w:val="24"/>
        </w:rPr>
        <w:t xml:space="preserve"> per level (in some cases as few as two studies per subgroup) further limits the inferences that can be drawn from the subgroup contrasts; the moderator-effect estimates reported should be treated as exploratory rather than confirmatory.</w:t>
      </w:r>
    </w:p>
    <w:p>
      <w:pPr>
        <w:spacing w:line="480" w:lineRule="auto" w:before="0" w:after="0"/>
        <w:ind w:firstLine="720"/>
      </w:pPr>
      <w:r>
        <w:rPr>
          <w:rFonts w:ascii="Times New Roman" w:hAnsi="Times New Roman" w:eastAsia="Times New Roman"/>
          <w:sz w:val="24"/>
        </w:rPr>
        <w:t>Second, the protocol specified six bibliographic databases (PubMed/MEDLINE, PsycINFO, ERIC, Web of Science, Scopus, and ProQuest Dissertations), but the execution environment lacked institutional access to the subscription-gated databases and did not permit direct API access to several open databases. The search was therefore executed via the WebSearch interface (Google-based) and supplemented by ERIC web search and open-access repository retrieval, with forward and backward citation snowballing from included studies and from prior meta-analyses. Although this deviation is transparently disclosed in Methods and in the search-strategy supplement, it represents a real departure from the pre-registered plan. The WebSearch route does not provide controlled-vocabulary (MeSH/thesaurus) indexing or per-database hit accounting in the same way that direct database searches do, and the lack of full PsycINFO and ProQuest Dissertations coverage means that a non-trivial number of potentially eligible non-English-language studies, dissertations, and grey-literature reports may have been missed. Combined with the English-language restriction (point five below), this limitation should reduce reader confidence in the comprehensiveness of the corpus, and the present synthesis should not be treated as an exhaustive census of the underlying literature. A replication search using full institutional access to the pre-registered databases is planned for a subsequent manuscript version.</w:t>
      </w:r>
    </w:p>
    <w:p>
      <w:pPr>
        <w:spacing w:line="480" w:lineRule="auto" w:before="0" w:after="0"/>
        <w:ind w:firstLine="720"/>
      </w:pPr>
      <w:r>
        <w:rPr>
          <w:rFonts w:ascii="Times New Roman" w:hAnsi="Times New Roman" w:eastAsia="Times New Roman"/>
          <w:sz w:val="24"/>
        </w:rPr>
        <w:t xml:space="preserve">Third, the review was conducted by a single reviewer, deviating from the Cochrane and PRISMA 2020/PRISMA-ScR recommendation of two independent reviewers at the screening, full-text assessment, and data-extraction stages. Intra-rater reliability was assessed at each stage with target κ ≥ 0.80 met in each case, but intra-rater reliability cannot replicate inter-rater independence; single-reviewer workflows are known to be susceptible to systematic biases (e.g., confirmation effects in study inclusion, drift in extraction conventions) that intra-rater checks cannot fully detect. Readers should weight this limitation when interpreting the boundary decisions documented in the screening ledger. Fourth, the English-language restriction excluded a potentially informative body of non-English primary literature, particularly Chinese-, Japanese-, Korean-, and Spanish-language work where the personality-achievement association in online contexts is theoretically interesting. This restriction is especially consequential for the moderator findings concerning East Asian and Middle Eastern samples reported below, because the subset of non-English regional work that was implicitly excluded is precisely the work most likely to clarify those moderator effects. Fifth, the included studies varied substantially in their outcome operationalizations: some used objective GPA or standardized exam scores, others used self-reported achievement, course satisfaction, engagement composites, or LMS-behavior indicators. This heterogeneity limits the precision of the pooled effects, inflates observed </w:t>
      </w:r>
      <w:r>
        <w:rPr>
          <w:rFonts w:ascii="Times New Roman" w:hAnsi="Times New Roman" w:eastAsia="Times New Roman"/>
          <w:i/>
          <w:sz w:val="24"/>
        </w:rPr>
        <w:t>I²</w:t>
      </w:r>
      <w:r>
        <w:rPr>
          <w:rFonts w:ascii="Times New Roman" w:hAnsi="Times New Roman" w:eastAsia="Times New Roman"/>
          <w:sz w:val="24"/>
        </w:rPr>
        <w:t xml:space="preserve"> values, and almost certainly contributes to the wide prediction intervals reported in the Results section.</w:t>
      </w:r>
    </w:p>
    <w:p>
      <w:pPr>
        <w:spacing w:line="480" w:lineRule="auto" w:before="0" w:after="0"/>
        <w:ind w:firstLine="720"/>
      </w:pPr>
      <w:r>
        <w:rPr>
          <w:rFonts w:ascii="Times New Roman" w:hAnsi="Times New Roman" w:eastAsia="Times New Roman"/>
          <w:sz w:val="24"/>
        </w:rPr>
        <w:t>Sixth, the author's own prior primary study (Tokiwa, 2025) was included in the scoping-retained set as a potentially eligible record. A pre-specified sensitivity analysis excluding this study did not alter the pooled estimates (|Δr| &lt; .001 for every trait) because Tokiwa (2025) did not contribute extractable zero-order correlations to the exploratory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 xml:space="preserve">The present meta-analysis provides a first, preliminary quantitative synthesis of Big Five personality traits and academic achievement in online learning environments. Because the exploratory achievement pool comprised only 10 studies, several with very small subgroup </w:t>
      </w:r>
      <w:r>
        <w:rPr>
          <w:rFonts w:ascii="Times New Roman" w:hAnsi="Times New Roman" w:eastAsia="Times New Roman"/>
          <w:i/>
          <w:sz w:val="24"/>
        </w:rPr>
        <w:t>k</w:t>
      </w:r>
      <w:r>
        <w:rPr>
          <w:rFonts w:ascii="Times New Roman" w:hAnsi="Times New Roman" w:eastAsia="Times New Roman"/>
          <w:sz w:val="24"/>
        </w:rPr>
        <w:t xml:space="preserve"> and with wide prediction intervals that include zero for most traits, the conclusions below are best read as tentative hypotheses to be tested in larger future syntheses rather than as established findings. The findings are broadly consistent with, but do not by themselves establish, an extension of the face-to-face pattern to online learning: Conscientiousness emerged as the most plausible positive predictor (</w:t>
      </w:r>
      <w:r>
        <w:rPr>
          <w:rFonts w:ascii="Times New Roman" w:hAnsi="Times New Roman" w:eastAsia="Times New Roman"/>
          <w:i/>
          <w:sz w:val="24"/>
        </w:rPr>
        <w:t>r</w:t>
      </w:r>
      <w:r>
        <w:rPr>
          <w:rFonts w:ascii="Times New Roman" w:hAnsi="Times New Roman" w:eastAsia="Times New Roman"/>
          <w:sz w:val="24"/>
        </w:rPr>
        <w:t xml:space="preserve"> = .167)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with highly heterogeneous subgroup estimates that, in the subset of Asian samples and objective outcomes, were negative; Agreeableness appeared slightly larger than the face-to-face benchmark but was driven primarily by a single Chinese MOOC sample (Yu, 2021), and this finding is fragile to the exclusion of that single study; and Neuroticism and Openness effects were essentially null in the exploratory synthesis. The findings are consistent with the Personality-Achievement Saturation Hypothesis (Meyer et al., 2023) as a framework for understanding the online attenuation of Conscientiousness, but the present evidence base is too small to constitute strong confirmation. The exploratory cultural- and outcome-type-dependent shifts in the Extraversion effect identified here highlight a priority for future primary research, but should not yet be used to guide pedagogical practice. As online and blended instruction continues to constitute a substantial and growing share of post-secondary education globally, the present synthesis provides a preliminary empirical reference point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Munn, Z., Peters, </w:t>
      </w:r>
      <w:r>
        <w:rPr>
          <w:rFonts w:ascii="Times New Roman" w:hAnsi="Times New Roman" w:eastAsia="Times New Roman"/>
          <w:i/>
          <w:sz w:val="24"/>
        </w:rPr>
        <w:t>M</w:t>
      </w:r>
      <w:r>
        <w:rPr>
          <w:rFonts w:ascii="Times New Roman" w:hAnsi="Times New Roman" w:eastAsia="Times New Roman"/>
          <w:sz w:val="24"/>
        </w:rPr>
        <w:t>. D. J., Stern, C., Tufanaru, C., McArthur, A., &amp; Aromataris, E. (2018). Systematic review or scoping review? Guidance for authors when choosing between a systematic or scoping review approach. BMC Medical Research Methodology, 18, 143. https://doi.org/10.1186/s12874-018-0611-x</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Tett, R. P., &amp; Burnett, D. D. (2003). A personality trait-based interactionist model of job performance. </w:t>
      </w:r>
      <w:r>
        <w:rPr>
          <w:rFonts w:ascii="Times New Roman" w:hAnsi="Times New Roman" w:eastAsia="Times New Roman"/>
          <w:i/>
          <w:sz w:val="24"/>
        </w:rPr>
        <w:t>Journal of Applied Psychology, 88</w:t>
      </w:r>
      <w:r>
        <w:rPr>
          <w:rFonts w:ascii="Times New Roman" w:hAnsi="Times New Roman" w:eastAsia="Times New Roman"/>
          <w:sz w:val="24"/>
        </w:rPr>
        <w:t>(3), 500–517. https://doi.org/10.1037/0021-9010.88.3.500</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Tricco, A. C., Lillie, E., Zarin, W., O'Brien, K. K., Colquhoun, H., Levac, D., Moher, D., Peters, </w:t>
      </w:r>
      <w:r>
        <w:rPr>
          <w:rFonts w:ascii="Times New Roman" w:hAnsi="Times New Roman" w:eastAsia="Times New Roman"/>
          <w:i/>
          <w:sz w:val="24"/>
        </w:rPr>
        <w:t>M</w:t>
      </w:r>
      <w:r>
        <w:rPr>
          <w:rFonts w:ascii="Times New Roman" w:hAnsi="Times New Roman" w:eastAsia="Times New Roman"/>
          <w:sz w:val="24"/>
        </w:rPr>
        <w:t xml:space="preserve">. D. J., Horsley, T., Weeks, L., Hempel, S., Akl, E. A., Chang, C., McGowan, J., Stewart, L., Hartling, L., Aldcroft, A., Wilson, </w:t>
      </w:r>
      <w:r>
        <w:rPr>
          <w:rFonts w:ascii="Times New Roman" w:hAnsi="Times New Roman" w:eastAsia="Times New Roman"/>
          <w:i/>
          <w:sz w:val="24"/>
        </w:rPr>
        <w:t>M</w:t>
      </w:r>
      <w:r>
        <w:rPr>
          <w:rFonts w:ascii="Times New Roman" w:hAnsi="Times New Roman" w:eastAsia="Times New Roman"/>
          <w:sz w:val="24"/>
        </w:rPr>
        <w:t>. G., Garritty, C., … Straus, S. E. (2018). PRISMA Extension for Scoping Reviews (PRISMA-ScR): Checklist and explanation. Annals of Internal Medicine, 169(7), 467–473. https://doi.org/10.7326/M18-0850</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 xml:space="preserve">Tokiwa, E. (2025). Who excels in online learning in Japan? </w:t>
      </w:r>
      <w:r>
        <w:rPr>
          <w:rFonts w:ascii="Times New Roman" w:hAnsi="Times New Roman" w:eastAsia="Times New Roman"/>
          <w:i/>
          <w:sz w:val="24"/>
        </w:rPr>
        <w:t>Frontiers in Psychology, 16</w:t>
      </w:r>
      <w:r>
        <w:rPr>
          <w:rFonts w:ascii="Times New Roman" w:hAnsi="Times New Roman" w:eastAsia="Times New Roman"/>
          <w:sz w:val="24"/>
        </w:rPr>
        <w:t>, Article 1420996. https://doi.org/10.3389/fpsyg.2025.1420996</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exploratory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exploratory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exploratory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Completeness-of-Evidence Summary: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PRISMA-ScR-style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PRISMA-ScR statement (Tricco et al., 2018)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exploratory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