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28"/>
        </w:rPr>
        <w:t>PRISMA-ScR Checklist (Tricco et al., 2018)</w:t>
      </w:r>
    </w:p>
    <w:p>
      <w:pPr>
        <w:spacing w:after="160"/>
        <w:jc w:val="center"/>
      </w:pPr>
      <w:r>
        <w:rPr>
          <w:rFonts w:ascii="Calibri" w:hAnsi="Calibri"/>
          <w:b w:val="0"/>
          <w:sz w:val="22"/>
        </w:rPr>
        <w:t>Big Five Personality Traits and Academic Achievement in Online Learning Environments: A Scoping Review with Exploratory Quantitative Synthesis</w:t>
      </w:r>
    </w:p>
    <w:p>
      <w:pPr>
        <w:spacing w:after="200"/>
      </w:pPr>
      <w:r>
        <w:rPr>
          <w:rFonts w:ascii="Calibri" w:hAnsi="Calibri"/>
          <w:b w:val="0"/>
          <w:sz w:val="20"/>
        </w:rPr>
        <w:t>This checklist follows the PRISMA Extension for Scoping Reviews (PRISMA-ScR) reporting guidelines: Tricco, A. C., Lillie, E., Zarin, W., et al. (2018). PRISMA Extension for Scoping Reviews (PRISMA-ScR): Checklist and explanation. Annals of Internal Medicine, 169(7), 467–473. https://doi.org/10.7326/M18-0850. Items are numbered 1–22. The "Location reported" column points to the section/subsection of the main manuscript where each item is reported; page numbers are deliberately avoided because they shift between submission and journal-formatted PDFs.</w:t>
      </w:r>
    </w:p>
    <w:tbl>
      <w:tblPr>
        <w:tblW w:type="auto" w:w="0"/>
        <w:tblLayout w:type="fixed"/>
        <w:tblLook w:firstColumn="1" w:firstRow="1" w:lastColumn="0" w:lastRow="0" w:noHBand="0" w:noVBand="1" w:val="04A0"/>
      </w:tblPr>
      <w:tblGrid>
        <w:gridCol w:w="3450"/>
        <w:gridCol w:w="3450"/>
        <w:gridCol w:w="3450"/>
        <w:gridCol w:w="3450"/>
      </w:tblGrid>
      <w:tr>
        <w:tc>
          <w:tcPr>
            <w:tcW w:type="dxa" w:w="1814"/>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Section</w:t>
            </w:r>
          </w:p>
        </w:tc>
        <w:tc>
          <w:tcPr>
            <w:tcW w:type="dxa" w:w="680"/>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w:t>
            </w:r>
          </w:p>
        </w:tc>
        <w:tc>
          <w:tcPr>
            <w:tcW w:type="dxa" w:w="4819"/>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Checklist item</w:t>
            </w:r>
          </w:p>
        </w:tc>
        <w:tc>
          <w:tcPr>
            <w:tcW w:type="dxa" w:w="6520"/>
            <w:shd w:val="clear" w:color="auto" w:fill="D9D9D9"/>
            <w:tcBorders>
              <w:top w:val="single" w:sz="4" w:color="808080"/>
              <w:left w:val="single" w:sz="4" w:color="808080"/>
              <w:bottom w:val="single" w:sz="4" w:color="808080"/>
              <w:right w:val="single" w:sz="4" w:color="808080"/>
            </w:tcBorders>
          </w:tcPr>
          <w:p>
            <w:r/>
            <w:r>
              <w:rPr>
                <w:rFonts w:ascii="Calibri" w:hAnsi="Calibri"/>
                <w:b/>
                <w:sz w:val="20"/>
              </w:rPr>
              <w:t>Location reported</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TITLE</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Title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Identify the report as a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Title page — title explicitly identifies the report as "A Scoping Review with Exploratory Quantitative Synthesis."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ABSTRACT</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Structured summary</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 structured summary that includes (as applicable): background, objectives, eligibility criteria, sources of evidence, charting methods, results, and conclusions that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Abstract — single-paragraph summary covers all PRISMA-ScR abstract elements; explicitly names PRISMA-ScR (Tricco et al., 2018) as the reporting framework, names the executed sources of evidence and the unexecuted pre-registered subscription-gated databases, and identifies the conclusions as a charted map plus a research agenda rather than as established effect estimates.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INTRODUCTION</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Rationale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3</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rationale for the review in the context of what is already known. Explain why the review questions/objectives lend themselves to a scoping review approach.</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Introduction → "Personality and Academic Achievement in Face-to-Face Contexts" and "The Shift to Online Learning Environments" subsections summarise eight prior face-to-face meta-analyses (Poropat 2009 through Chen et al. 2025) and establish the absence of an online-modality moderator as the stated gap. Munn et al. (2018) and the scoping-review reframing rationale are cited explicitly in the Information Sources subsection.</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Objectives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4</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Introduction → "The Present Review" subsection — three Mapping Questions (MQ1, MQ2, MQ3) and five directional Mapping Priors (MP1 through MP5) are stated explicitly. The PCC (Population–Concept–Context) frame replaces PICOS for this scoping review and is described in the Eligibility Criteria subsection.</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METHODS</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Protocol and registration</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5</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Indicate whether a review protocol exists; state if and where it can be accessed (e.g., a Web address); and if available, provide registration information, including the registration number.</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"Protocol and Registration" subsection — protocol time-stamped 23 April 2026 on OSF Registries; the search log is deposited on the associated OSF project (02_search component). Any deviations from the pre-registered protocol are transparently disclosed in the Methods → Information Sources subsection and in the Limitations section.</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Eligibility criteria</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6</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Specify characteristics of the sources of evidence used as eligibility criteria (e.g., years considered, language, and publication status), and provide a rationale.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"Eligibility Criteria" subsection — full Population–Concept–Context eligibility rules, including population (learners in online, blended, or MOOC environments), concept (Big Five or HEXACO personality instruments and academic achievement, satisfaction, engagement, or perception outcomes), context (post-secondary or K-12 online learning environments), and publication-type, language (English-only), and design restrictions.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Information sources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7</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all information sources (e.g., databases with dates of coverage and contact with authors to identify additional sources), as well as the date the most recent search was executed.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"Information Sources and Search Strategy" subsection — pre-registered six databases (PubMed/MEDLINE, PsycINFO, ERIC, Web of Science, Scopus, ProQuest Dissertations) are named. Actually-executed sources: (a) WebSearch (Google Scholar-equivalent), 23 April 2026; (b) ERIC web search, 23 April 2026; (c) targeted retrieval from open-access repositories (PubMed Central, Frontiers, MDPI, Open Praxis); (d) forward and backward citation snowballing from included primary studies and from the eight benchmark face-to-face meta-analyses. PsycINFO, Scopus, Web of Science, and ProQuest Dissertations were not searched (institutional access unavailable; individual subscription not offered by Clarivate, Elsevier, or APA); this gap is the basis for reframing as a scoping review.</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Search</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8</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Present the full electronic search strategy for at least 1 database, including any limits used, such that it could be repeated.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"Information Sources and Search Strategy" subsection — three-concept Boolean strategy (personality × online learning × academic outcome) is reproduced in full. The complete per-query syntax, execution dates, and hit counts are deposited; the search log is deposited on the associated OSF project (02_search component).</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Selection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9</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State the process for selecting sources of evidence (i.e., screening and eligibility) included in the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"Study Selection" subsection — single reviewer under a pre-specified intra-rater reliability protocol with 10% (title/abstract) and 20% (full-text) re-screening after a ≥7-day wash-out; target Cohen's κ ≥ 0.80 met at each stage. Single-reviewer workflow is discussed transparently as a limitation.</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Data charting process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10</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"Data Extraction" subsection — single-reviewer extraction using a pre-piloted CSV-based form; intra-rater reliability sub-sample of 20% re-extracted after ≥7-day wash-out with target κ ≥ 0.80 met. Categorical fields and continuous fields are listed in the manuscript and on the OSF project (04_extraction component). Where reported statistics permitted conversion to Pearson r, the Peterson and Brown (2005) β-to-r conversion was applied with a transparent two-predictor rule.</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Data items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List and define all variables for which data were sought and any assumptions and simplifications made.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"Data Extraction" subsection and Table 1 list all extracted variables: study identification, country, journal, sample size, age, gender composition, education level, sampling method, design, modality, modality subtype, personality instrument and reliability, outcome instrument, effect-size statistics for each Big Five trait, era coding, and JBI risk-of-bias score. Assumptions and simplifications for HEXACO-to-Big-Five mapping and β-to-r conversion are stated explicitly.</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Critical appraisal of individual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If done, provide a rationale for conducting a critical appraisal of included sources of evidence; describe the methods used and how this information was used in any data synthesis (if appropriate).</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"Risk-of-Bias Assessment" subsection — Joanna Briggs Institute (JBI) checklist for analytical cross-sectional studies was applied with single-reviewer rating and 20% re-rating intra-rater check. Risk-of-bias scores are reported per-study in Table 1 and used as an exclusion criterion in a pre-specified sensitivity analysis (Table 4). Reframing as a scoping review does not eliminate the appraisal; it re-positions the appraisal as a descriptive feature of the mapped evidence.</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Synthesis of results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13</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the methods of handling and summarizing the data that were charted.</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Methods → "Quantitative Synthesis" subsection — random-effects meta-analysis with REML τ² estimation and Hartung-Knapp-Sidik-Jonkman confidence-interval adjustment, on the Fisher z scale, for the exploratory quantitative pool (k = 10). The synthesis is explicitly described as exploratory rather than confirmatory, and prediction intervals (not just confidence intervals) are reported for each trait.</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RESULTS</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Selection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14</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Give numbers of sources of evidence screened, assessed for eligibility, and included in the review, with reasons for exclusions at each stage, ideally using a flow diagram.</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"Study Selection" subsection and Figure 1 (a PRISMA-ScR-style flow diagram) — numbers of records identified, screened, retrieved, assessed for eligibility, and included are presented. Full-text exclusion reasons are reported.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Characteristics of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15</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For each included source of evidence, present characteristics for which data were charted and provide the citations.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"Characteristics of Retained Studies" subsection and Table 1 — each of the 25 scoping-retained studies is characterised by country, modality, sample, instrument, outcome, era, region, JBI risk-of-bias score, and inclusion status (exploratory-pool vs. scoping-only).</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Critical appraisal within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16</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If done, present data on critical appraisal of included sources of evidence (see item 12).</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"Risk-of-Bias Distribution" paragraph and Table 1 (per-study risk-of-bias score column). Sensitivity analysis excluding RoB-low studies is reported in Table 4.</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Results of individual sources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17</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For each included source of evidence, present the relevant data that were charted that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"Per-Study Effect Sizes" subsection — per-trait Pearson correlations (direct or β-converted) are reported for each of the 10 studies contributing to the exploratory quantitative pool, with sample size, outcome type, and instrument explicitly noted.</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Synthesis of results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18</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Summarize and/or present the charting results as they relate to the review questions and objectives.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Results → "Exploratory Pooled Effect Sizes" and "Subgroup Contrasts" subsections, Tables 2 and 3 — pooled trait-by-trait estimates, 95% CIs, 95% prediction intervals, I², and Q-statistics; pre-registered subgroup contrasts (Region, Outcome Type, Era) are reported descriptively rather than as confirmatory tests.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DISCUSSION</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Summary of evidence</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19</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Summarize the main results (including an overview of concepts, themes, and types of evidence available), link to the review questions and objectives, and consider the relevance to key groups.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Discussion → "Summary of Findings," "Mapping-Prior Evaluation," "Theoretical Implications," "Tentative Practical Implications," and "Distinguishing Robust from Fragile Findings" subsections — the main mapped pattern (Conscientiousness as the only relatively robust trait; Agreeableness/Extraversion subgroup contrasts as exploratory; Openness/Neuroticism essentially null in the mappable pool) is summarised against MP1-MP5 and against the eight benchmark face-to-face meta-analyses.</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Limitations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20</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Discuss the limitations of the scoping review process.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Discussion → "Limitations" subsection — seven explicit limitations: (1) small exploratory pool (k = 10, 6 direct + 4 β-converted); (2) executed search did not cover the four pre-registered subscription-gated databases and is described as the basis for the scoping-review reframing; (3) single-reviewer workflow; (4) English-only restriction with particular consequence for Asian-subgroup interpretation; (5) outcome heterogeneity; (6) author's own prior primary study inclusion handled by pre-specified sensitivity analysis; (7) Big-Five-dimensional rather than facet-level granularity.</w:t>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Conclusions</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21</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Provide a general interpretation of the results with respect to the review questions and objectives, as well as potential implications and/or next steps.</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Conclusion — the synthesis is positioned as a charted map and a research agenda rather than as an established quantitative effect-size estimate; next steps include subscription-gated-database replication search, linguistically inclusive corpus expansion, facet-level primary studies, and within-learner modality contrasts.</w:t>
            </w:r>
          </w:p>
        </w:tc>
      </w:tr>
      <w:tr>
        <w:tc>
          <w:tcPr>
            <w:tcW w:type="dxa" w:w="1814"/>
            <w:shd w:val="clear" w:color="auto" w:fill="F2F2F2"/>
            <w:tcBorders>
              <w:top w:val="single" w:sz="4" w:color="808080"/>
              <w:left w:val="single" w:sz="4" w:color="808080"/>
              <w:bottom w:val="single" w:sz="4" w:color="808080"/>
              <w:right w:val="single" w:sz="4" w:color="808080"/>
            </w:tcBorders>
          </w:tcPr>
          <w:p>
            <w:r/>
            <w:r>
              <w:rPr>
                <w:rFonts w:ascii="Calibri" w:hAnsi="Calibri"/>
                <w:b/>
                <w:sz w:val="18"/>
              </w:rPr>
              <w:t>FUNDING</w:t>
            </w:r>
          </w:p>
        </w:tc>
        <w:tc>
          <w:tcPr>
            <w:tcW w:type="dxa" w:w="68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4819"/>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c>
          <w:tcPr>
            <w:tcW w:type="dxa" w:w="6520"/>
            <w:shd w:val="clear" w:color="auto" w:fill="F2F2F2"/>
            <w:tcBorders>
              <w:top w:val="single" w:sz="4" w:color="808080"/>
              <w:left w:val="single" w:sz="4" w:color="808080"/>
              <w:bottom w:val="single" w:sz="4" w:color="808080"/>
              <w:right w:val="single" w:sz="4" w:color="808080"/>
            </w:tcBorders>
          </w:tcPr>
          <w:p>
            <w:r/>
            <w:r>
              <w:rPr>
                <w:rFonts w:ascii="Calibri" w:hAnsi="Calibri"/>
                <w:b/>
                <w:sz w:val="18"/>
              </w:rPr>
            </w:r>
          </w:p>
        </w:tc>
      </w:tr>
      <w:tr>
        <w:tc>
          <w:tcPr>
            <w:tcW w:type="dxa" w:w="1814"/>
            <w:tcBorders>
              <w:top w:val="single" w:sz="4" w:color="808080"/>
              <w:left w:val="single" w:sz="4" w:color="808080"/>
              <w:bottom w:val="single" w:sz="4" w:color="808080"/>
              <w:right w:val="single" w:sz="4" w:color="808080"/>
            </w:tcBorders>
          </w:tcPr>
          <w:p>
            <w:r/>
            <w:r>
              <w:rPr>
                <w:rFonts w:ascii="Calibri" w:hAnsi="Calibri"/>
                <w:b w:val="0"/>
                <w:sz w:val="18"/>
              </w:rPr>
              <w:t>Funding</w:t>
            </w:r>
          </w:p>
        </w:tc>
        <w:tc>
          <w:tcPr>
            <w:tcW w:type="dxa" w:w="680"/>
            <w:tcBorders>
              <w:top w:val="single" w:sz="4" w:color="808080"/>
              <w:left w:val="single" w:sz="4" w:color="808080"/>
              <w:bottom w:val="single" w:sz="4" w:color="808080"/>
              <w:right w:val="single" w:sz="4" w:color="808080"/>
            </w:tcBorders>
          </w:tcPr>
          <w:p>
            <w:r/>
            <w:r>
              <w:rPr>
                <w:rFonts w:ascii="Calibri" w:hAnsi="Calibri"/>
                <w:b w:val="0"/>
                <w:sz w:val="18"/>
              </w:rPr>
              <w:t>22</w:t>
            </w:r>
          </w:p>
        </w:tc>
        <w:tc>
          <w:tcPr>
            <w:tcW w:type="dxa" w:w="4819"/>
            <w:tcBorders>
              <w:top w:val="single" w:sz="4" w:color="808080"/>
              <w:left w:val="single" w:sz="4" w:color="808080"/>
              <w:bottom w:val="single" w:sz="4" w:color="808080"/>
              <w:right w:val="single" w:sz="4" w:color="808080"/>
            </w:tcBorders>
          </w:tcPr>
          <w:p>
            <w:r/>
            <w:r>
              <w:rPr>
                <w:rFonts w:ascii="Calibri" w:hAnsi="Calibri"/>
                <w:b w:val="0"/>
                <w:sz w:val="18"/>
              </w:rPr>
              <w:t>Describe sources of funding for the included sources of evidence, as well as sources of funding for the scoping review. Describe the role of the funders of the scoping review.</w:t>
            </w:r>
          </w:p>
        </w:tc>
        <w:tc>
          <w:tcPr>
            <w:tcW w:type="dxa" w:w="6520"/>
            <w:tcBorders>
              <w:top w:val="single" w:sz="4" w:color="808080"/>
              <w:left w:val="single" w:sz="4" w:color="808080"/>
              <w:bottom w:val="single" w:sz="4" w:color="808080"/>
              <w:right w:val="single" w:sz="4" w:color="808080"/>
            </w:tcBorders>
          </w:tcPr>
          <w:p>
            <w:r/>
            <w:r>
              <w:rPr>
                <w:rFonts w:ascii="Calibri" w:hAnsi="Calibri"/>
                <w:b w:val="0"/>
                <w:sz w:val="18"/>
              </w:rPr>
              <w:t>Declarations → Funding subsection — no external funding was received for the scoping review; sources of funding for individual included primary studies are recorded in the data-extraction CSV where reported.</w:t>
            </w:r>
          </w:p>
        </w:tc>
      </w:tr>
    </w:tbl>
    <w:sectPr w:rsidR="00FC693F" w:rsidRPr="0006063C" w:rsidSect="00034616">
      <w:pgSz w:w="15840" w:h="122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