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Updated Point-by-Point Response to Reviewer 1</w:t>
      </w:r>
    </w:p>
    <w:p>
      <w:pPr>
        <w:spacing w:before="0" w:after="160" w:line="312" w:lineRule="auto"/>
        <w:jc w:val="center"/>
      </w:pPr>
      <w:r>
        <w:rPr>
          <w:sz w:val="22"/>
        </w:rPr>
        <w:t>Big Five Personality Traits and Academic Achievement in Online Learning Environments: A Scoping Review with Exploratory Quantitative Synthesis</w:t>
      </w:r>
    </w:p>
    <w:p>
      <w:pPr>
        <w:spacing w:before="0" w:after="360" w:line="312" w:lineRule="auto"/>
        <w:jc w:val="center"/>
      </w:pPr>
      <w:r>
        <w:rPr>
          <w:sz w:val="20"/>
        </w:rPr>
        <w:t>Frontiers in Education  |  Manuscript ID 1866537  |  Response date: 15 June 2026</w:t>
      </w:r>
    </w:p>
    <w:p>
      <w:pPr>
        <w:spacing w:before="0" w:after="120" w:line="312" w:lineRule="auto"/>
      </w:pPr>
      <w:r>
        <w:rPr>
          <w:sz w:val="22"/>
        </w:rPr>
        <w:t>This is an updated point-by-point response that extends the previous Reviewer 1 major-revision response (submitted 15 June 2026) with a structural reframing of the manuscript as a scoping review with exploratory quantitative synthesis. The reframing addresses the search-deviation concern that Reviewer 1 identified — "The pre-registered multi-database search was not fully carried out, the final search relied on a web-based interface and open repositories..." — in a way that wording changes alone could not. The same concern was identified independently by Heliyon Reviewer 1, who recommended either (i) conducting the pre-registered six-database search or (ii) reframing as a scoping review with modest claims. Because path (i) is precluded by absent institutional access and the lack of individual subscriptions from Clarivate, Elsevier, and the American Psychological Association, I have taken path (ii).</w:t>
      </w:r>
    </w:p>
    <w:p>
      <w:pPr>
        <w:spacing w:before="200" w:after="120" w:line="312" w:lineRule="auto"/>
      </w:pPr>
      <w:r>
        <w:rPr>
          <w:b/>
          <w:sz w:val="24"/>
        </w:rPr>
        <w:t>Issue 1 — Small primary pool, over-strong conclusions</w:t>
      </w:r>
    </w:p>
    <w:p>
      <w:pPr>
        <w:spacing w:before="0" w:after="120" w:line="312" w:lineRule="auto"/>
      </w:pPr>
      <w:r>
        <w:rPr>
          <w:b/>
          <w:sz w:val="22"/>
        </w:rPr>
        <w:t>Response.</w:t>
      </w:r>
    </w:p>
    <w:p>
      <w:pPr>
        <w:spacing w:before="0" w:after="120" w:line="312" w:lineRule="auto"/>
      </w:pPr>
      <w:r>
        <w:rPr>
          <w:sz w:val="22"/>
        </w:rPr>
        <w:t>Concession reinforced. The reframing as a scoping review with exploratory quantitative synthesis (rather than as a systematic review and meta-analysis) makes the small-k concession structural rather than only rhetorical: the quantitative pool is now described as an exploratory secondary analysis throughout, and the Abstract, Discussion, Limitations, and Conclusion are recalibrated to scoping-review language. The Distinguishing Robust from Fragile Findings subsection (added in the previous revision) is retained.</w:t>
      </w:r>
    </w:p>
    <w:p>
      <w:pPr>
        <w:spacing w:before="200" w:after="120" w:line="312" w:lineRule="auto"/>
      </w:pPr>
      <w:r>
        <w:rPr>
          <w:b/>
          <w:sz w:val="24"/>
        </w:rPr>
        <w:t>Issue 2 — Heterogeneity and prediction intervals</w:t>
      </w:r>
    </w:p>
    <w:p>
      <w:pPr>
        <w:spacing w:before="0" w:after="120" w:line="312" w:lineRule="auto"/>
      </w:pPr>
      <w:r>
        <w:rPr>
          <w:b/>
          <w:sz w:val="22"/>
        </w:rPr>
        <w:t>Response.</w:t>
      </w:r>
    </w:p>
    <w:p>
      <w:pPr>
        <w:spacing w:before="0" w:after="120" w:line="312" w:lineRule="auto"/>
      </w:pPr>
      <w:r>
        <w:rPr>
          <w:sz w:val="22"/>
        </w:rPr>
        <w:t>Retained from the previous revision. The Abstract, Discussion, and Conclusion now lead with prediction intervals rather than point estimates for Agreeableness, Openness, and Neuroticism, and the Robust-vs-Fragile classification is preserved.</w:t>
      </w:r>
    </w:p>
    <w:p>
      <w:pPr>
        <w:spacing w:before="200" w:after="120" w:line="312" w:lineRule="auto"/>
      </w:pPr>
      <w:r>
        <w:rPr>
          <w:b/>
          <w:sz w:val="24"/>
        </w:rPr>
        <w:t>Issue 3 — Moderator overinterpretation</w:t>
      </w:r>
    </w:p>
    <w:p>
      <w:pPr>
        <w:spacing w:before="0" w:after="120" w:line="312" w:lineRule="auto"/>
      </w:pPr>
      <w:r>
        <w:rPr>
          <w:b/>
          <w:sz w:val="22"/>
        </w:rPr>
        <w:t>Response.</w:t>
      </w:r>
    </w:p>
    <w:p>
      <w:pPr>
        <w:spacing w:before="0" w:after="120" w:line="312" w:lineRule="auto"/>
      </w:pPr>
      <w:r>
        <w:rPr>
          <w:sz w:val="22"/>
        </w:rPr>
        <w:t>Concession reinforced. Hypotheses H1–H5 have been reframed as Mapping Priors MP1–MP5, and the subgroup contrasts are now uniformly described as exploratory descriptive observations rather than as confirmatory tests of interaction. The Tentative Practical Implications subsection language is retained from the previous revision.</w:t>
      </w:r>
    </w:p>
    <w:p>
      <w:pPr>
        <w:spacing w:before="200" w:after="120" w:line="312" w:lineRule="auto"/>
      </w:pPr>
      <w:r>
        <w:rPr>
          <w:b/>
          <w:sz w:val="24"/>
        </w:rPr>
        <w:t>Issue 4 — β-converted vs direct correlations; robust-vs-fragile distinction</w:t>
      </w:r>
    </w:p>
    <w:p>
      <w:pPr>
        <w:spacing w:before="0" w:after="120" w:line="312" w:lineRule="auto"/>
      </w:pPr>
      <w:r>
        <w:rPr>
          <w:b/>
          <w:sz w:val="22"/>
        </w:rPr>
        <w:t>Response.</w:t>
      </w:r>
    </w:p>
    <w:p>
      <w:pPr>
        <w:spacing w:before="0" w:after="120" w:line="312" w:lineRule="auto"/>
      </w:pPr>
      <w:r>
        <w:rPr>
          <w:sz w:val="22"/>
        </w:rPr>
        <w:t>Retained from the previous revision and extended: the Robust-vs-Fragile Findings subsection now also references the Heliyon Reviewer 1 Comment #9 specific concern about the Yu (2021) β-conversion exception, and the Yu (2021) two-predictor-rule treatment is now described in the Methods with the rationale for the applied conversion.</w:t>
      </w:r>
    </w:p>
    <w:p>
      <w:pPr>
        <w:spacing w:before="200" w:after="120" w:line="312" w:lineRule="auto"/>
      </w:pPr>
      <w:r>
        <w:rPr>
          <w:b/>
          <w:sz w:val="24"/>
        </w:rPr>
        <w:t>Issue 5 — Search-strategy deviation, single reviewer, English-only restriction</w:t>
      </w:r>
    </w:p>
    <w:p>
      <w:pPr>
        <w:spacing w:before="0" w:after="120" w:line="312" w:lineRule="auto"/>
      </w:pPr>
      <w:r>
        <w:rPr>
          <w:b/>
          <w:sz w:val="22"/>
        </w:rPr>
        <w:t>Response.</w:t>
      </w:r>
    </w:p>
    <w:p>
      <w:pPr>
        <w:spacing w:before="0" w:after="120" w:line="312" w:lineRule="auto"/>
      </w:pPr>
      <w:r>
        <w:rPr>
          <w:sz w:val="22"/>
        </w:rPr>
        <w:t>Concession structurally reinforced. The scoping-review reframing makes the search-strategy concession the central structural feature of the revised manuscript: the executed search is now honestly described in the Methods → Information Sources subsection, the unexecuted pre-registered databases are named explicitly, the reason for the gap (no institutional access, no individual subscriptions, execution-environment network restrictions) is stated, and the reframing as a scoping review is justified as the direct consequence of the gap. The single-reviewer and English-only limitations are retained from the previous revision.</w:t>
      </w:r>
    </w:p>
    <w:p>
      <w:pPr>
        <w:spacing w:before="200" w:after="120" w:line="312" w:lineRule="auto"/>
      </w:pPr>
      <w:r>
        <w:rPr>
          <w:b/>
          <w:sz w:val="24"/>
        </w:rPr>
        <w:t>Issue 6 — Placeholder text, forthcoming supplements, figure/table quality</w:t>
      </w:r>
    </w:p>
    <w:p>
      <w:pPr>
        <w:spacing w:before="0" w:after="120" w:line="312" w:lineRule="auto"/>
      </w:pPr>
      <w:r>
        <w:rPr>
          <w:b/>
          <w:sz w:val="22"/>
        </w:rPr>
        <w:t>Response.</w:t>
      </w:r>
    </w:p>
    <w:p>
      <w:pPr>
        <w:spacing w:before="0" w:after="120" w:line="312" w:lineRule="auto"/>
      </w:pPr>
      <w:r>
        <w:rPr>
          <w:sz w:val="22"/>
        </w:rPr>
        <w:t>Retained from the previous revision: the "[k_achievement_direct]" placeholder is replaced; the "(forthcoming)" parenthetical for OSF 03_screening and 05_risk_of_bias is removed; a repository-wide regression scan returns zero placeholder hits in the rebuilt manuscript.</w:t>
      </w:r>
    </w:p>
    <w:p>
      <w:pPr>
        <w:spacing w:before="280" w:after="120" w:line="312" w:lineRule="auto"/>
      </w:pPr>
      <w:r>
        <w:rPr>
          <w:b/>
          <w:sz w:val="24"/>
        </w:rPr>
        <w:t>Closing</w:t>
      </w:r>
    </w:p>
    <w:p>
      <w:pPr>
        <w:spacing w:before="0" w:after="120" w:line="312" w:lineRule="auto"/>
      </w:pPr>
      <w:r>
        <w:rPr>
          <w:sz w:val="22"/>
        </w:rPr>
        <w:t>All six of Reviewer 1's substantive concerns are addressed by the scoping-review reframing in combination with the earlier manuscript revisions. The reframing is intentionally concession-leaning throughout and is identical in structure across the three active journal submissions (Frontiers in Education, Humanities and Social Sciences Communications, Heliyon) so that the same revised manuscript is submitted to all three.</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