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jc w:val="center"/>
      </w:pPr>
      <w:r>
        <w:rPr>
          <w:b/>
          <w:sz w:val="28"/>
        </w:rPr>
        <w:t>Point-by-Point Response to Reviewer 1</w:t>
      </w:r>
    </w:p>
    <w:p>
      <w:pPr>
        <w:spacing w:before="0" w:after="160" w:line="312" w:lineRule="auto"/>
        <w:jc w:val="center"/>
      </w:pPr>
      <w:r>
        <w:rPr>
          <w:sz w:val="22"/>
        </w:rPr>
        <w:t>Big Five Personality Traits and Academic Achievement in Online Learning Environments: A Scoping Review with Exploratory Quantitative Synthesis</w:t>
      </w:r>
    </w:p>
    <w:p>
      <w:pPr>
        <w:spacing w:before="0" w:after="360" w:line="312" w:lineRule="auto"/>
        <w:jc w:val="center"/>
      </w:pPr>
      <w:r>
        <w:rPr>
          <w:sz w:val="20"/>
        </w:rPr>
        <w:t>Heliyon  |  Manuscript ID HELIYON-D-26-02879  |  Response date: 15 June 2026</w:t>
      </w:r>
    </w:p>
    <w:p>
      <w:pPr>
        <w:spacing w:before="0" w:after="120" w:line="312" w:lineRule="auto"/>
      </w:pPr>
      <w:r>
        <w:rPr>
          <w:sz w:val="22"/>
        </w:rPr>
        <w:t>I am very grateful to Reviewer 1 for the thorough, detailed, and constructive evaluation. Reviewer 1's central observation — that the executed search is not adequate to support a systematic review claim — is well taken, and the central structural concession follows the reviewer's own "honorable path (ii)": the manuscript has been reframed throughout as a scoping review with exploratory quantitative synthesis. All other comments are addressed in turn below.</w:t>
      </w:r>
    </w:p>
    <w:p>
      <w:pPr>
        <w:spacing w:before="200" w:after="120" w:line="312" w:lineRule="auto"/>
      </w:pPr>
      <w:r>
        <w:rPr>
          <w:b/>
          <w:sz w:val="24"/>
        </w:rPr>
        <w:t>Decisive Issue — Search not systematic</w:t>
      </w:r>
    </w:p>
    <w:p>
      <w:pPr>
        <w:spacing w:before="0" w:after="120" w:line="312" w:lineRule="auto"/>
      </w:pPr>
      <w:r>
        <w:rPr>
          <w:b/>
          <w:sz w:val="22"/>
        </w:rPr>
        <w:t>Response.</w:t>
      </w:r>
    </w:p>
    <w:p>
      <w:pPr>
        <w:spacing w:before="0" w:after="120" w:line="312" w:lineRule="auto"/>
      </w:pPr>
      <w:r>
        <w:rPr>
          <w:sz w:val="22"/>
        </w:rPr>
        <w:t>Reviewer 1 raised this as not fixable by editing and offered two honorable paths: conduct the pre-registered six-database search, or reframe as a scoping review with modest claims. Path (i) is precluded by the absence of institutional access and the absence of individual subscriptions from Clarivate, Elsevier, and the American Psychological Association; I have therefore taken Path (ii). The manuscript has been fully reframed as a scoping review with exploratory quantitative synthesis. The Title, Abstract, Methods → Information Sources subsection, Reporting framework (PRISMA-ScR replaces PRISMA 2020), PRISMA-ScR checklist, Hypothesis labels (Mapping Priors MP1–MP5), GRADE subsection (Completeness-of-Evidence Mapping), and Discussion language have all been updated. The Methods → Information Sources subsection now honestly names what was and was not searched, and explicitly justifies the scoping reframing as the direct consequence of the information-source gap.</w:t>
      </w:r>
    </w:p>
    <w:p>
      <w:pPr>
        <w:spacing w:before="200" w:after="120" w:line="312" w:lineRule="auto"/>
      </w:pPr>
      <w:r>
        <w:rPr>
          <w:b/>
          <w:sz w:val="24"/>
        </w:rPr>
        <w:t>Comment 1 — Missing theoretical foundation for the personality-achievement link</w:t>
      </w:r>
    </w:p>
    <w:p>
      <w:pPr>
        <w:spacing w:before="0" w:after="120" w:line="312" w:lineRule="auto"/>
      </w:pPr>
      <w:r>
        <w:rPr>
          <w:b/>
          <w:sz w:val="22"/>
        </w:rPr>
        <w:t>Response.</w:t>
      </w:r>
    </w:p>
    <w:p>
      <w:pPr>
        <w:spacing w:before="0" w:after="120" w:line="312" w:lineRule="auto"/>
      </w:pPr>
      <w:r>
        <w:rPr>
          <w:sz w:val="22"/>
        </w:rPr>
        <w:t>The Introduction now explicitly grounds the predicted Conscientiousness, Openness, Agreeableness, Neuroticism, and Extraversion effects in Trait Activation Theory (Tett and Burnett, 2003), which complements the Personality-Achievement Saturation Hypothesis as the theoretical anchor. The TAT framework is now cited in both the Introduction and the Discussion, including in the explanation of why Extraversion attenuates in asynchronous contexts and why Agreeableness may be amplified in cooperative collectivist contexts.</w:t>
      </w:r>
    </w:p>
    <w:p>
      <w:pPr>
        <w:spacing w:before="200" w:after="120" w:line="312" w:lineRule="auto"/>
      </w:pPr>
      <w:r>
        <w:rPr>
          <w:b/>
          <w:sz w:val="24"/>
        </w:rPr>
        <w:t>Comment 2 — Four theoretical dimensions not consistently linked to specific trait predictions</w:t>
      </w:r>
    </w:p>
    <w:p>
      <w:pPr>
        <w:spacing w:before="0" w:after="120" w:line="312" w:lineRule="auto"/>
      </w:pPr>
      <w:r>
        <w:rPr>
          <w:b/>
          <w:sz w:val="22"/>
        </w:rPr>
        <w:t>Response.</w:t>
      </w:r>
    </w:p>
    <w:p>
      <w:pPr>
        <w:spacing w:before="0" w:after="120" w:line="312" w:lineRule="auto"/>
      </w:pPr>
      <w:r>
        <w:rPr>
          <w:sz w:val="22"/>
        </w:rPr>
        <w:t>The mapping from the four online-versus-face-to-face dimensions (self-regulation demands, reduced social presence, temporal flexibility, technology mediation) to each Mapping Prior is tightened in the Introduction, and the previously thin technology-mediation argument for amplified Openness is explicitly identified as exploratory rather than theoretically compelling.</w:t>
      </w:r>
    </w:p>
    <w:p>
      <w:pPr>
        <w:spacing w:before="200" w:after="120" w:line="312" w:lineRule="auto"/>
      </w:pPr>
      <w:r>
        <w:rPr>
          <w:b/>
          <w:sz w:val="24"/>
        </w:rPr>
        <w:t>Comment 3 — Hypotheses read as informed intuitions</w:t>
      </w:r>
    </w:p>
    <w:p>
      <w:pPr>
        <w:spacing w:before="0" w:after="120" w:line="312" w:lineRule="auto"/>
      </w:pPr>
      <w:r>
        <w:rPr>
          <w:b/>
          <w:sz w:val="22"/>
        </w:rPr>
        <w:t>Response.</w:t>
      </w:r>
    </w:p>
    <w:p>
      <w:pPr>
        <w:spacing w:before="0" w:after="120" w:line="312" w:lineRule="auto"/>
      </w:pPr>
      <w:r>
        <w:rPr>
          <w:sz w:val="22"/>
        </w:rPr>
        <w:t>Hypotheses H1–H5 are reframed as Mapping Priors MP1–MP5, with explicit acknowledgement that the priors are descriptive expectations against which the mapped evidence is compared rather than formal hypothesis tests. Each prior is now linked to TAT or PASH as the theoretical home.</w:t>
      </w:r>
    </w:p>
    <w:p>
      <w:pPr>
        <w:spacing w:before="200" w:after="120" w:line="312" w:lineRule="auto"/>
      </w:pPr>
      <w:r>
        <w:rPr>
          <w:b/>
          <w:sz w:val="24"/>
        </w:rPr>
        <w:t>Comment 4 — Modulation vs mediation conflation (RQ3)</w:t>
      </w:r>
    </w:p>
    <w:p>
      <w:pPr>
        <w:spacing w:before="0" w:after="120" w:line="312" w:lineRule="auto"/>
      </w:pPr>
      <w:r>
        <w:rPr>
          <w:b/>
          <w:sz w:val="22"/>
        </w:rPr>
        <w:t>Response.</w:t>
      </w:r>
    </w:p>
    <w:p>
      <w:pPr>
        <w:spacing w:before="0" w:after="120" w:line="312" w:lineRule="auto"/>
      </w:pPr>
      <w:r>
        <w:rPr>
          <w:sz w:val="22"/>
        </w:rPr>
        <w:t>The Introduction now explicitly distinguishes the modulation question (MQ2) from the mediation question (MQ3) and acknowledges that MQ3 cannot be answered with the available evidence; the discussion of MQ3 is positioned as a research agenda item rather than as a finding.</w:t>
      </w:r>
    </w:p>
    <w:p>
      <w:pPr>
        <w:spacing w:before="200" w:after="120" w:line="312" w:lineRule="auto"/>
      </w:pPr>
      <w:r>
        <w:rPr>
          <w:b/>
          <w:sz w:val="24"/>
        </w:rPr>
        <w:t>Comment 5 — Instrument as methodological moderator</w:t>
      </w:r>
    </w:p>
    <w:p>
      <w:pPr>
        <w:spacing w:before="0" w:after="120" w:line="312" w:lineRule="auto"/>
      </w:pPr>
      <w:r>
        <w:rPr>
          <w:b/>
          <w:sz w:val="22"/>
        </w:rPr>
        <w:t>Response.</w:t>
      </w:r>
    </w:p>
    <w:p>
      <w:pPr>
        <w:spacing w:before="0" w:after="120" w:line="312" w:lineRule="auto"/>
      </w:pPr>
      <w:r>
        <w:rPr>
          <w:sz w:val="22"/>
        </w:rPr>
        <w:t>The personality-instrument moderator is now explicitly described as methodological rather than substantive, and the instrument-attenuation tension with the online-vs-face-to-face comparison is acknowledged.</w:t>
      </w:r>
    </w:p>
    <w:p>
      <w:pPr>
        <w:spacing w:before="200" w:after="120" w:line="312" w:lineRule="auto"/>
      </w:pPr>
      <w:r>
        <w:rPr>
          <w:b/>
          <w:sz w:val="24"/>
        </w:rPr>
        <w:t>Comment 6 — Integrative theoretical model</w:t>
      </w:r>
    </w:p>
    <w:p>
      <w:pPr>
        <w:spacing w:before="0" w:after="120" w:line="312" w:lineRule="auto"/>
      </w:pPr>
      <w:r>
        <w:rPr>
          <w:b/>
          <w:sz w:val="22"/>
        </w:rPr>
        <w:t>Response.</w:t>
      </w:r>
    </w:p>
    <w:p>
      <w:pPr>
        <w:spacing w:before="0" w:after="120" w:line="312" w:lineRule="auto"/>
      </w:pPr>
      <w:r>
        <w:rPr>
          <w:sz w:val="22"/>
        </w:rPr>
        <w:t>A schematic preliminary model linking traits, the four online dimensions, mediating mechanisms (self-efficacy, self-regulated learning behaviours), and outcomes is added to the Introduction as Figure 1a (schematic) with a corresponding paragraph in the Discussion.</w:t>
      </w:r>
    </w:p>
    <w:p>
      <w:pPr>
        <w:spacing w:before="200" w:after="120" w:line="312" w:lineRule="auto"/>
      </w:pPr>
      <w:r>
        <w:rPr>
          <w:b/>
          <w:sz w:val="24"/>
        </w:rPr>
        <w:t>Comment 7 — "First quantitative synthesis" qualification</w:t>
      </w:r>
    </w:p>
    <w:p>
      <w:pPr>
        <w:spacing w:before="0" w:after="120" w:line="312" w:lineRule="auto"/>
      </w:pPr>
      <w:r>
        <w:rPr>
          <w:b/>
          <w:sz w:val="22"/>
        </w:rPr>
        <w:t>Response.</w:t>
      </w:r>
    </w:p>
    <w:p>
      <w:pPr>
        <w:spacing w:before="0" w:after="120" w:line="312" w:lineRule="auto"/>
      </w:pPr>
      <w:r>
        <w:rPr>
          <w:sz w:val="22"/>
        </w:rPr>
        <w:t>The phrase "to the author's knowledge" is now applied consistently across the Introduction, the Discussion, and the Conclusion to qualify the first-scoping-mapping claim.</w:t>
      </w:r>
    </w:p>
    <w:p>
      <w:pPr>
        <w:spacing w:before="200" w:after="120" w:line="312" w:lineRule="auto"/>
      </w:pPr>
      <w:r>
        <w:rPr>
          <w:b/>
          <w:sz w:val="24"/>
        </w:rPr>
        <w:t>Comment 8 — Actual kappa values</w:t>
      </w:r>
    </w:p>
    <w:p>
      <w:pPr>
        <w:spacing w:before="0" w:after="120" w:line="312" w:lineRule="auto"/>
      </w:pPr>
      <w:r>
        <w:rPr>
          <w:b/>
          <w:sz w:val="22"/>
        </w:rPr>
        <w:t>Response.</w:t>
      </w:r>
    </w:p>
    <w:p>
      <w:pPr>
        <w:spacing w:before="0" w:after="120" w:line="312" w:lineRule="auto"/>
      </w:pPr>
      <w:r>
        <w:rPr>
          <w:sz w:val="22"/>
        </w:rPr>
        <w:t>Actual observed intra-rater Cohen's kappa values are now reported in the Methods → Study Selection subsection (title/abstract screening, full-text assessment, data-extraction categorical fields, data-extraction continuous fields (ICC), risk-of-bias rating) rather than only the target threshold.</w:t>
      </w:r>
    </w:p>
    <w:p>
      <w:pPr>
        <w:spacing w:before="200" w:after="120" w:line="312" w:lineRule="auto"/>
      </w:pPr>
      <w:r>
        <w:rPr>
          <w:b/>
          <w:sz w:val="24"/>
        </w:rPr>
        <w:t>Comment 9 — β-to-r conversion procedure</w:t>
      </w:r>
    </w:p>
    <w:p>
      <w:pPr>
        <w:spacing w:before="0" w:after="120" w:line="312" w:lineRule="auto"/>
      </w:pPr>
      <w:r>
        <w:rPr>
          <w:b/>
          <w:sz w:val="22"/>
        </w:rPr>
        <w:t>Response.</w:t>
      </w:r>
    </w:p>
    <w:p>
      <w:pPr>
        <w:spacing w:before="0" w:after="120" w:line="312" w:lineRule="auto"/>
      </w:pPr>
      <w:r>
        <w:rPr>
          <w:sz w:val="22"/>
        </w:rPr>
        <w:t>The two-predictor rule is restated in the Methods, and the specific procedure used for Yu (2021) — whose source model contains gender, educational level, and the Big Five traits — is described in detail with the rationale for the applied conversion. The β-excluded sensitivity analysis is now reported in the Results section with explicit attention to the delta-r shifts for Neuroticism and Openness identified by the reviewer.</w:t>
      </w:r>
    </w:p>
    <w:p>
      <w:pPr>
        <w:spacing w:before="200" w:after="120" w:line="312" w:lineRule="auto"/>
      </w:pPr>
      <w:r>
        <w:rPr>
          <w:b/>
          <w:sz w:val="24"/>
        </w:rPr>
        <w:t>Comment 10 — OSF materials listed as forthcoming</w:t>
      </w:r>
    </w:p>
    <w:p>
      <w:pPr>
        <w:spacing w:before="0" w:after="120" w:line="312" w:lineRule="auto"/>
      </w:pPr>
      <w:r>
        <w:rPr>
          <w:b/>
          <w:sz w:val="22"/>
        </w:rPr>
        <w:t>Response.</w:t>
      </w:r>
    </w:p>
    <w:p>
      <w:pPr>
        <w:spacing w:before="0" w:after="120" w:line="312" w:lineRule="auto"/>
      </w:pPr>
      <w:r>
        <w:rPr>
          <w:sz w:val="22"/>
        </w:rPr>
        <w:t>The OSF 03_screening (PRISMA flow counts and screening decisions) and 05_risk_of_bias (JBI ratings per included study) components are now complete and the previous "(forthcoming)" parenthetical has been removed.</w:t>
      </w:r>
    </w:p>
    <w:p>
      <w:pPr>
        <w:spacing w:before="200" w:after="120" w:line="312" w:lineRule="auto"/>
      </w:pPr>
      <w:r>
        <w:rPr>
          <w:b/>
          <w:sz w:val="24"/>
        </w:rPr>
        <w:t>Comment 11 — Agreeableness/Openness pooled estimates not interpretable as stable effects</w:t>
      </w:r>
    </w:p>
    <w:p>
      <w:pPr>
        <w:spacing w:before="0" w:after="120" w:line="312" w:lineRule="auto"/>
      </w:pPr>
      <w:r>
        <w:rPr>
          <w:b/>
          <w:sz w:val="22"/>
        </w:rPr>
        <w:t>Response.</w:t>
      </w:r>
    </w:p>
    <w:p>
      <w:pPr>
        <w:spacing w:before="0" w:after="120" w:line="312" w:lineRule="auto"/>
      </w:pPr>
      <w:r>
        <w:rPr>
          <w:sz w:val="22"/>
        </w:rPr>
        <w:t>The Discussion and the Abstract now lead with the prediction intervals (Agreeableness PI [-.310, .496]; Openness PI similarly wide) rather than the point estimates when summarising these traits, and the Robust-vs-Fragile Findings subsection explicitly classifies both as fragile.</w:t>
      </w:r>
    </w:p>
    <w:p>
      <w:pPr>
        <w:spacing w:before="200" w:after="120" w:line="312" w:lineRule="auto"/>
      </w:pPr>
      <w:r>
        <w:rPr>
          <w:b/>
          <w:sz w:val="24"/>
        </w:rPr>
        <w:t>Comment 12 — Both significant moderators rest on an Asian subgroup of k = 2</w:t>
      </w:r>
    </w:p>
    <w:p>
      <w:pPr>
        <w:spacing w:before="0" w:after="120" w:line="312" w:lineRule="auto"/>
      </w:pPr>
      <w:r>
        <w:rPr>
          <w:b/>
          <w:sz w:val="22"/>
        </w:rPr>
        <w:t>Response.</w:t>
      </w:r>
    </w:p>
    <w:p>
      <w:pPr>
        <w:spacing w:before="0" w:after="120" w:line="312" w:lineRule="auto"/>
      </w:pPr>
      <w:r>
        <w:rPr>
          <w:sz w:val="22"/>
        </w:rPr>
        <w:t>The two studies in the Asian quantitative subgroup are now identified explicitly in the Results section: A-12 Cohen and Baruth (2017; Israeli sample) and A-28 Yu (2021; Chinese MOOC sample). The Hofstede individualism/collectivism positioning of Israel is discussed in the Discussion, with the cultural interpretation revised: the Cohen and Baruth (2017) sample is from an Israeli population that Hofstede classifies as individualistic on the IDV axis, so the previous Asian-collectivism interpretation is replaced with a more careful "non-Western individualism gradient" framing and is flagged as an exploratory leading observation rather than as a confirmatory cultural-mechanism finding.</w:t>
      </w:r>
    </w:p>
    <w:p>
      <w:pPr>
        <w:spacing w:before="200" w:after="120" w:line="312" w:lineRule="auto"/>
      </w:pPr>
      <w:r>
        <w:rPr>
          <w:b/>
          <w:sz w:val="24"/>
        </w:rPr>
        <w:t>Comment 13 — Agreeableness driven by a single study</w:t>
      </w:r>
    </w:p>
    <w:p>
      <w:pPr>
        <w:spacing w:before="0" w:after="120" w:line="312" w:lineRule="auto"/>
      </w:pPr>
      <w:r>
        <w:rPr>
          <w:b/>
          <w:sz w:val="22"/>
        </w:rPr>
        <w:t>Response.</w:t>
      </w:r>
    </w:p>
    <w:p>
      <w:pPr>
        <w:spacing w:before="0" w:after="120" w:line="312" w:lineRule="auto"/>
      </w:pPr>
      <w:r>
        <w:rPr>
          <w:sz w:val="22"/>
        </w:rPr>
        <w:t>The Abstract now states explicitly that the Agreeableness exploratory pooled estimate is driven by a single study (Yu, 2021) and that excluding this study shifts the pooled r from .112 to .038. The Conclusion repeats this caveat.</w:t>
      </w:r>
    </w:p>
    <w:p>
      <w:pPr>
        <w:spacing w:before="200" w:after="120" w:line="312" w:lineRule="auto"/>
      </w:pPr>
      <w:r>
        <w:rPr>
          <w:b/>
          <w:sz w:val="24"/>
        </w:rPr>
        <w:t>Comment 14 — Unfilled placeholder in Limitations</w:t>
      </w:r>
    </w:p>
    <w:p>
      <w:pPr>
        <w:spacing w:before="0" w:after="120" w:line="312" w:lineRule="auto"/>
      </w:pPr>
      <w:r>
        <w:rPr>
          <w:b/>
          <w:sz w:val="22"/>
        </w:rPr>
        <w:t>Response.</w:t>
      </w:r>
    </w:p>
    <w:p>
      <w:pPr>
        <w:spacing w:before="0" w:after="120" w:line="312" w:lineRule="auto"/>
      </w:pPr>
      <w:r>
        <w:rPr>
          <w:sz w:val="22"/>
        </w:rPr>
        <w:t>Resolved in a previous revision; the previous "[k_achievement_direct]" placeholder was replaced with "k = 10, with 6 contributing direct Pearson correlations and 4 contributing β-converted correlations." A repository-wide scan for square-bracketed placeholders, "TBD," "to be added," and "forthcoming" markers returns zero hits in the rebuilt manuscript.</w:t>
      </w:r>
    </w:p>
    <w:p>
      <w:pPr>
        <w:spacing w:before="200" w:after="120" w:line="312" w:lineRule="auto"/>
      </w:pPr>
      <w:r>
        <w:rPr>
          <w:b/>
          <w:sz w:val="24"/>
        </w:rPr>
        <w:t>Comment 15 — Software inconsistency between Methods and Acknowledgments</w:t>
      </w:r>
    </w:p>
    <w:p>
      <w:pPr>
        <w:spacing w:before="0" w:after="120" w:line="312" w:lineRule="auto"/>
      </w:pPr>
      <w:r>
        <w:rPr>
          <w:b/>
          <w:sz w:val="22"/>
        </w:rPr>
        <w:t>Response.</w:t>
      </w:r>
    </w:p>
    <w:p>
      <w:pPr>
        <w:spacing w:before="0" w:after="120" w:line="312" w:lineRule="auto"/>
      </w:pPr>
      <w:r>
        <w:rPr>
          <w:sz w:val="22"/>
        </w:rPr>
        <w:t>Resolved: the Methods → Quantitative Synthesis subsection now states correctly that all analyses were performed in Python (NumPy, SciPy, pandas, statsmodels, Matplotlib) — matching the Acknowledgments — rather than in R/metafor. The clubSandwich robust variance estimator was re-implemented in Python following the published mathematical specification.</w:t>
      </w:r>
    </w:p>
    <w:p>
      <w:pPr>
        <w:spacing w:before="200" w:after="120" w:line="312" w:lineRule="auto"/>
      </w:pPr>
      <w:r>
        <w:rPr>
          <w:b/>
          <w:sz w:val="24"/>
        </w:rPr>
        <w:t>Comment 16 — Uninformative confidence intervals in Table 3</w:t>
      </w:r>
    </w:p>
    <w:p>
      <w:pPr>
        <w:spacing w:before="0" w:after="120" w:line="312" w:lineRule="auto"/>
      </w:pPr>
      <w:r>
        <w:rPr>
          <w:b/>
          <w:sz w:val="22"/>
        </w:rPr>
        <w:t>Response.</w:t>
      </w:r>
    </w:p>
    <w:p>
      <w:pPr>
        <w:spacing w:before="0" w:after="120" w:line="312" w:lineRule="auto"/>
      </w:pPr>
      <w:r>
        <w:rPr>
          <w:sz w:val="22"/>
        </w:rPr>
        <w:t>Table 3 now flags the Asian-subgroup Openness [-.989, .994] and Agreeableness [-.981, .995] confidence intervals as uninformative in the table note, noting that this reflects the combination of k = 2 and extreme heterogeneity.</w:t>
      </w:r>
    </w:p>
    <w:p>
      <w:pPr>
        <w:spacing w:before="200" w:after="120" w:line="312" w:lineRule="auto"/>
      </w:pPr>
      <w:r>
        <w:rPr>
          <w:b/>
          <w:sz w:val="24"/>
        </w:rPr>
        <w:t>Comment 17 — PASH invocation requires a formal test</w:t>
      </w:r>
    </w:p>
    <w:p>
      <w:pPr>
        <w:spacing w:before="0" w:after="120" w:line="312" w:lineRule="auto"/>
      </w:pPr>
      <w:r>
        <w:rPr>
          <w:b/>
          <w:sz w:val="22"/>
        </w:rPr>
        <w:t>Response.</w:t>
      </w:r>
    </w:p>
    <w:p>
      <w:pPr>
        <w:spacing w:before="0" w:after="120" w:line="312" w:lineRule="auto"/>
      </w:pPr>
      <w:r>
        <w:rPr>
          <w:sz w:val="22"/>
        </w:rPr>
        <w:t>The Discussion now reports a formal between-meta-analytic z-test of the present pooled Conscientiousness estimate (r = .167) against the closest face-to-face benchmark (McAbee and Oswald, 2013; ρ = .26) and notes that the test is not significant at α = .05; the PASH interpretation is accordingly stated as descriptively consistent with rather than as confirmatory of the PASH framework.</w:t>
      </w:r>
    </w:p>
    <w:p>
      <w:pPr>
        <w:spacing w:before="200" w:after="120" w:line="312" w:lineRule="auto"/>
      </w:pPr>
      <w:r>
        <w:rPr>
          <w:b/>
          <w:sz w:val="24"/>
        </w:rPr>
        <w:t>Comment 18 — Theoretical grounding beyond PASH</w:t>
      </w:r>
    </w:p>
    <w:p>
      <w:pPr>
        <w:spacing w:before="0" w:after="120" w:line="312" w:lineRule="auto"/>
      </w:pPr>
      <w:r>
        <w:rPr>
          <w:b/>
          <w:sz w:val="22"/>
        </w:rPr>
        <w:t>Response.</w:t>
      </w:r>
    </w:p>
    <w:p>
      <w:pPr>
        <w:spacing w:before="0" w:after="120" w:line="312" w:lineRule="auto"/>
      </w:pPr>
      <w:r>
        <w:rPr>
          <w:sz w:val="22"/>
        </w:rPr>
        <w:t>Trait Activation Theory (Tett and Burnett, 2003) is added as a complementary theoretical anchor in both the Introduction and the Discussion. The TAT lens is used to articulate the Extraversion attenuation in asynchronous contexts, the Agreeableness amplification in cooperative platforms, and the Conscientiousness preservation across modalities.</w:t>
      </w:r>
    </w:p>
    <w:p>
      <w:pPr>
        <w:spacing w:before="200" w:after="120" w:line="312" w:lineRule="auto"/>
      </w:pPr>
      <w:r>
        <w:rPr>
          <w:b/>
          <w:sz w:val="24"/>
        </w:rPr>
        <w:t>Comment 19 — Engagement with the personality-engagement literature</w:t>
      </w:r>
    </w:p>
    <w:p>
      <w:pPr>
        <w:spacing w:before="0" w:after="120" w:line="312" w:lineRule="auto"/>
      </w:pPr>
      <w:r>
        <w:rPr>
          <w:b/>
          <w:sz w:val="22"/>
        </w:rPr>
        <w:t>Response.</w:t>
      </w:r>
    </w:p>
    <w:p>
      <w:pPr>
        <w:spacing w:before="0" w:after="120" w:line="312" w:lineRule="auto"/>
      </w:pPr>
      <w:r>
        <w:rPr>
          <w:sz w:val="22"/>
        </w:rPr>
        <w:t>The Discussion now engages explicitly with the personality-engagement systematic review literature, citing convergent patterns on Extraversion modality sensitivity and identifying the mediating pathways (self-regulatory processes, achievement emotions, social cohesion) in the practical-implications subsection.</w:t>
      </w:r>
    </w:p>
    <w:p>
      <w:pPr>
        <w:spacing w:before="200" w:after="120" w:line="312" w:lineRule="auto"/>
      </w:pPr>
      <w:r>
        <w:rPr>
          <w:b/>
          <w:sz w:val="24"/>
        </w:rPr>
        <w:t>Comment 20 — PASH extension labeling</w:t>
      </w:r>
    </w:p>
    <w:p>
      <w:pPr>
        <w:spacing w:before="0" w:after="120" w:line="312" w:lineRule="auto"/>
      </w:pPr>
      <w:r>
        <w:rPr>
          <w:b/>
          <w:sz w:val="22"/>
        </w:rPr>
        <w:t>Response.</w:t>
      </w:r>
    </w:p>
    <w:p>
      <w:pPr>
        <w:spacing w:before="0" w:after="120" w:line="312" w:lineRule="auto"/>
      </w:pPr>
      <w:r>
        <w:rPr>
          <w:sz w:val="22"/>
        </w:rPr>
        <w:t>The PASH-online extension is now explicitly labelled as the author's own theoretical proposal in both the Introduction ("the present author extends the PASH framework, originally formulated by Meyer et al. (2023) for face-to-face contexts, to technology-mediated learning") and the Discussion.</w:t>
      </w:r>
    </w:p>
    <w:p>
      <w:pPr>
        <w:spacing w:before="200" w:after="120" w:line="312" w:lineRule="auto"/>
      </w:pPr>
      <w:r>
        <w:rPr>
          <w:b/>
          <w:sz w:val="24"/>
        </w:rPr>
        <w:t>Minor — Cohen and Baruth (2017) vs Baruth and Cohen (2023)</w:t>
      </w:r>
    </w:p>
    <w:p>
      <w:pPr>
        <w:spacing w:before="0" w:after="120" w:line="312" w:lineRule="auto"/>
      </w:pPr>
      <w:r>
        <w:rPr>
          <w:b/>
          <w:sz w:val="22"/>
        </w:rPr>
        <w:t>Response.</w:t>
      </w:r>
    </w:p>
    <w:p>
      <w:pPr>
        <w:spacing w:before="0" w:after="120" w:line="312" w:lineRule="auto"/>
      </w:pPr>
      <w:r>
        <w:rPr>
          <w:sz w:val="22"/>
        </w:rPr>
        <w:t>In-text citations are now consistently differentiated by year, and the two papers are listed as distinct entries in the reference list with the corresponding year disambiguation.</w:t>
      </w:r>
    </w:p>
    <w:p>
      <w:pPr>
        <w:spacing w:before="200" w:after="120" w:line="312" w:lineRule="auto"/>
      </w:pPr>
      <w:r>
        <w:rPr>
          <w:b/>
          <w:sz w:val="24"/>
        </w:rPr>
        <w:t>Minor — A-13 Dang (2025) inclusion justification</w:t>
      </w:r>
    </w:p>
    <w:p>
      <w:pPr>
        <w:spacing w:before="0" w:after="120" w:line="312" w:lineRule="auto"/>
      </w:pPr>
      <w:r>
        <w:rPr>
          <w:b/>
          <w:sz w:val="22"/>
        </w:rPr>
        <w:t>Response.</w:t>
      </w:r>
    </w:p>
    <w:p>
      <w:pPr>
        <w:spacing w:before="0" w:after="120" w:line="312" w:lineRule="auto"/>
      </w:pPr>
      <w:r>
        <w:rPr>
          <w:sz w:val="22"/>
        </w:rPr>
        <w:t>The Methods → Eligibility Criteria subsection and Table 1 now include an explicit justification for the A-13 Dang (2025) inclusion, including the rationale for treating the not-explicitly-online engagement scale as consistent with the online-modality eligibility criterion in this study.</w:t>
      </w:r>
    </w:p>
    <w:p>
      <w:pPr>
        <w:spacing w:before="200" w:after="120" w:line="312" w:lineRule="auto"/>
      </w:pPr>
      <w:r>
        <w:rPr>
          <w:b/>
          <w:sz w:val="24"/>
        </w:rPr>
        <w:t>Minor — Pre-registration timestamp clarification</w:t>
      </w:r>
    </w:p>
    <w:p>
      <w:pPr>
        <w:spacing w:before="0" w:after="120" w:line="312" w:lineRule="auto"/>
      </w:pPr>
      <w:r>
        <w:rPr>
          <w:b/>
          <w:sz w:val="22"/>
        </w:rPr>
        <w:t>Response.</w:t>
      </w:r>
    </w:p>
    <w:p>
      <w:pPr>
        <w:spacing w:before="0" w:after="120" w:line="312" w:lineRule="auto"/>
      </w:pPr>
      <w:r>
        <w:rPr>
          <w:sz w:val="22"/>
        </w:rPr>
        <w:t>The Methods → Protocol and Registration subsection now states explicitly that the OSF Registries timestamp of 23 April 2026 preceded formal data extraction (which began 24 April 2026) and preceded the formal database search.</w:t>
      </w:r>
    </w:p>
    <w:p>
      <w:pPr>
        <w:spacing w:before="200" w:after="120" w:line="312" w:lineRule="auto"/>
      </w:pPr>
      <w:r>
        <w:rPr>
          <w:b/>
          <w:sz w:val="24"/>
        </w:rPr>
        <w:t>Minor — GRADE Extraversion null result</w:t>
      </w:r>
    </w:p>
    <w:p>
      <w:pPr>
        <w:spacing w:before="0" w:after="120" w:line="312" w:lineRule="auto"/>
      </w:pPr>
      <w:r>
        <w:rPr>
          <w:b/>
          <w:sz w:val="22"/>
        </w:rPr>
        <w:t>Response.</w:t>
      </w:r>
    </w:p>
    <w:p>
      <w:pPr>
        <w:spacing w:before="0" w:after="120" w:line="312" w:lineRule="auto"/>
      </w:pPr>
      <w:r>
        <w:rPr>
          <w:sz w:val="22"/>
        </w:rPr>
        <w:t>The Abstract now clarifies that the Moderate Completeness-of-Evidence rating for Extraversion applies to the null pooled estimate, and that the theoretically interesting descriptive observation is the subgroup contrast structure rather than the overall pooled estimate.</w:t>
      </w:r>
    </w:p>
    <w:p>
      <w:pPr>
        <w:spacing w:before="280" w:after="120" w:line="312" w:lineRule="auto"/>
      </w:pPr>
      <w:r>
        <w:rPr>
          <w:b/>
          <w:sz w:val="24"/>
        </w:rPr>
        <w:t>Closing</w:t>
      </w:r>
    </w:p>
    <w:p>
      <w:pPr>
        <w:spacing w:before="0" w:after="120" w:line="312" w:lineRule="auto"/>
      </w:pPr>
      <w:r>
        <w:rPr>
          <w:sz w:val="22"/>
        </w:rPr>
        <w:t>All twenty-five items raised by Reviewer 1 have been addressed either by full revision of the manuscript or by the structural reframing as a scoping review with exploratory quantitative synthesis. I am grateful to Reviewer 1 for the explicit articulation of the two honorable paths, which provided concrete editorial guidance for the reframing decision.</w:t>
      </w:r>
    </w:p>
    <w:p>
      <w:pPr>
        <w:spacing w:before="120" w:after="120" w:line="312" w:lineRule="auto"/>
      </w:pPr>
      <w:r>
        <w:rPr>
          <w:sz w:val="22"/>
        </w:rPr>
        <w:t>Sincerely,</w:t>
      </w:r>
    </w:p>
    <w:p>
      <w:pPr>
        <w:spacing w:before="0" w:after="120" w:line="312" w:lineRule="auto"/>
      </w:pPr>
      <w:r>
        <w:rPr>
          <w:sz w:val="22"/>
        </w:rPr>
      </w:r>
    </w:p>
    <w:p>
      <w:pPr>
        <w:spacing w:before="0" w:after="0" w:line="312" w:lineRule="auto"/>
      </w:pPr>
      <w:r>
        <w:rPr>
          <w:sz w:val="20"/>
        </w:rPr>
        <w:t>Eisuke Tokiwa</w:t>
      </w:r>
    </w:p>
    <w:p>
      <w:pPr>
        <w:spacing w:before="0" w:after="0" w:line="312" w:lineRule="auto"/>
      </w:pPr>
      <w:r>
        <w:rPr>
          <w:sz w:val="20"/>
        </w:rPr>
        <w:t>Founder, SUNBLAZE Co., Ltd., Tokyo, Japan</w:t>
      </w:r>
    </w:p>
    <w:p>
      <w:pPr>
        <w:spacing w:before="0" w:after="0" w:line="312" w:lineRule="auto"/>
      </w:pPr>
      <w:r>
        <w:rPr>
          <w:sz w:val="20"/>
        </w:rPr>
        <w:t>ORCID: 0009-0009-7124-6669</w:t>
      </w:r>
    </w:p>
    <w:p>
      <w:pPr>
        <w:spacing w:before="0" w:after="0" w:line="312" w:lineRule="auto"/>
      </w:pPr>
      <w:r>
        <w:rPr>
          <w:sz w:val="20"/>
        </w:rPr>
        <w:t>Email: eisuke.tokiwa@sunblaze.jp</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