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jc w:val="center"/>
      </w:pPr>
      <w:r>
        <w:rPr>
          <w:b/>
          <w:sz w:val="28"/>
        </w:rPr>
        <w:t>Point-by-Point Response to Reviewer 2</w:t>
      </w:r>
    </w:p>
    <w:p>
      <w:pPr>
        <w:spacing w:before="0" w:after="160" w:line="312" w:lineRule="auto"/>
        <w:jc w:val="center"/>
      </w:pPr>
      <w:r>
        <w:rPr>
          <w:sz w:val="22"/>
        </w:rPr>
        <w:t>Big Five Personality Traits and Academic Achievement in Online Learning Environments: A Scoping Review with Exploratory Quantitative Synthesis</w:t>
      </w:r>
    </w:p>
    <w:p>
      <w:pPr>
        <w:spacing w:before="0" w:after="360" w:line="312" w:lineRule="auto"/>
        <w:jc w:val="center"/>
      </w:pPr>
      <w:r>
        <w:rPr>
          <w:sz w:val="20"/>
        </w:rPr>
        <w:t>Heliyon  |  Manuscript ID HELIYON-D-26-02879  |  Response date: 15 June 2026</w:t>
      </w:r>
    </w:p>
    <w:p>
      <w:pPr>
        <w:spacing w:before="0" w:after="120" w:line="312" w:lineRule="auto"/>
      </w:pPr>
      <w:r>
        <w:rPr>
          <w:sz w:val="22"/>
        </w:rPr>
        <w:t>I am very grateful to Reviewer 2 for the supportive evaluation and for the seven thoughtful suggestions for strengthening the manuscript before publication. Each suggestion has been incorporated, as detailed below. Where Reviewer 1's larger concerns about the search and the systematic-review framing intersect with Reviewer 2's questions about the small pool, the single-reviewer workflow, the converted effect sizes, and the publication-bias power, the response to Reviewer 1 has been used as the structural anchor.</w:t>
      </w:r>
    </w:p>
    <w:p>
      <w:pPr>
        <w:spacing w:before="200" w:after="120" w:line="312" w:lineRule="auto"/>
      </w:pPr>
      <w:r>
        <w:rPr>
          <w:b/>
          <w:sz w:val="24"/>
        </w:rPr>
        <w:t>R2-1 — Small quantitative pool implications</w:t>
      </w:r>
    </w:p>
    <w:p>
      <w:pPr>
        <w:spacing w:before="0" w:after="120" w:line="312" w:lineRule="auto"/>
      </w:pPr>
      <w:r>
        <w:rPr>
          <w:b/>
          <w:sz w:val="22"/>
        </w:rPr>
        <w:t>Response.</w:t>
      </w:r>
    </w:p>
    <w:p>
      <w:pPr>
        <w:spacing w:before="0" w:after="120" w:line="312" w:lineRule="auto"/>
      </w:pPr>
      <w:r>
        <w:rPr>
          <w:sz w:val="22"/>
        </w:rPr>
        <w:t>The Limitations section first paragraph now states explicitly that the exploratory quantitative pool of k = 10 (with 6 direct + 4 β-converted correlations) is at the lower bound of robust random-effects estimation, that pooled estimates are unstable, that heterogeneity is poorly estimated, and that prediction intervals are wide. The Discussion → Distinguishing Robust from Fragile Findings subsection (new) classifies Conscientiousness as the relatively robust finding and explicitly marks Agreeableness, the Extraversion subgroups, Openness, and Neuroticism as fragile. The Abstract and Conclusion both lead with the small-k caveat.</w:t>
      </w:r>
    </w:p>
    <w:p>
      <w:pPr>
        <w:spacing w:before="200" w:after="120" w:line="312" w:lineRule="auto"/>
      </w:pPr>
      <w:r>
        <w:rPr>
          <w:b/>
          <w:sz w:val="24"/>
        </w:rPr>
        <w:t>R2-2 — Single-reviewer rationale</w:t>
      </w:r>
    </w:p>
    <w:p>
      <w:pPr>
        <w:spacing w:before="0" w:after="120" w:line="312" w:lineRule="auto"/>
      </w:pPr>
      <w:r>
        <w:rPr>
          <w:b/>
          <w:sz w:val="22"/>
        </w:rPr>
        <w:t>Response.</w:t>
      </w:r>
    </w:p>
    <w:p>
      <w:pPr>
        <w:spacing w:before="0" w:after="120" w:line="312" w:lineRule="auto"/>
      </w:pPr>
      <w:r>
        <w:rPr>
          <w:sz w:val="22"/>
        </w:rPr>
        <w:t>The Limitations third paragraph now states explicitly that intra-rater reliability checks cannot replicate inter-rater independence and that single-reviewer workflows are known to be susceptible to systematic biases (confirmation effects, extraction-convention drift) that intra-rater checks cannot fully detect. The actual observed kappa values at each stage (title/abstract, full-text, extraction categorical, extraction continuous, risk-of-bias) are now reported in the Methods → Study Selection subsection per Reviewer 1 Comment #8.</w:t>
      </w:r>
    </w:p>
    <w:p>
      <w:pPr>
        <w:spacing w:before="200" w:after="120" w:line="312" w:lineRule="auto"/>
      </w:pPr>
      <w:r>
        <w:rPr>
          <w:b/>
          <w:sz w:val="24"/>
        </w:rPr>
        <w:t>R2-3 — Blended vs fully online operationalization</w:t>
      </w:r>
    </w:p>
    <w:p>
      <w:pPr>
        <w:spacing w:before="0" w:after="120" w:line="312" w:lineRule="auto"/>
      </w:pPr>
      <w:r>
        <w:rPr>
          <w:b/>
          <w:sz w:val="22"/>
        </w:rPr>
        <w:t>Response.</w:t>
      </w:r>
    </w:p>
    <w:p>
      <w:pPr>
        <w:spacing w:before="0" w:after="120" w:line="312" w:lineRule="auto"/>
      </w:pPr>
      <w:r>
        <w:rPr>
          <w:sz w:val="22"/>
        </w:rPr>
        <w:t>The Methods → Eligibility Criteria subsection now distinguishes fully asynchronous, fully synchronous online, blended, and MOOC modalities and reports per-study modality coding in Table 1. The Discussion notes explicitly that pooling these modalities in the exploratory pool is a methodological simplification imposed by the small k and that the descriptive modality subgroup contrast in Table 3 should be treated as exploratory.</w:t>
      </w:r>
    </w:p>
    <w:p>
      <w:pPr>
        <w:spacing w:before="200" w:after="120" w:line="312" w:lineRule="auto"/>
      </w:pPr>
      <w:r>
        <w:rPr>
          <w:b/>
          <w:sz w:val="24"/>
        </w:rPr>
        <w:t>R2-4 — Converted-effect-size limitations</w:t>
      </w:r>
    </w:p>
    <w:p>
      <w:pPr>
        <w:spacing w:before="0" w:after="120" w:line="312" w:lineRule="auto"/>
      </w:pPr>
      <w:r>
        <w:rPr>
          <w:b/>
          <w:sz w:val="22"/>
        </w:rPr>
        <w:t>Response.</w:t>
      </w:r>
    </w:p>
    <w:p>
      <w:pPr>
        <w:spacing w:before="0" w:after="120" w:line="312" w:lineRule="auto"/>
      </w:pPr>
      <w:r>
        <w:rPr>
          <w:sz w:val="22"/>
        </w:rPr>
        <w:t>The Methods → Effect-Size Conversion subsection now expands the discussion of the Peterson and Brown (2005) β-to-r conversion assumptions, the two-predictor rule applied, the Yu (2021) special case (per Reviewer 1 Comment #9), and the limits of comparability with zero-order correlations. The β-converted-excluded sensitivity analysis (Table 4) is now reported with explicit attention to the |Δr| shifts for Neuroticism and Openness.</w:t>
      </w:r>
    </w:p>
    <w:p>
      <w:pPr>
        <w:spacing w:before="200" w:after="120" w:line="312" w:lineRule="auto"/>
      </w:pPr>
      <w:r>
        <w:rPr>
          <w:b/>
          <w:sz w:val="24"/>
        </w:rPr>
        <w:t>R2-5 — Publication-bias power</w:t>
      </w:r>
    </w:p>
    <w:p>
      <w:pPr>
        <w:spacing w:before="0" w:after="120" w:line="312" w:lineRule="auto"/>
      </w:pPr>
      <w:r>
        <w:rPr>
          <w:b/>
          <w:sz w:val="22"/>
        </w:rPr>
        <w:t>Response.</w:t>
      </w:r>
    </w:p>
    <w:p>
      <w:pPr>
        <w:spacing w:before="0" w:after="120" w:line="312" w:lineRule="auto"/>
      </w:pPr>
      <w:r>
        <w:rPr>
          <w:sz w:val="22"/>
        </w:rPr>
        <w:t>The Methods → Publication-Bias Assessment subsection and the Limitations section now state explicitly that Egger's regression and trim-and-fill analyses are underpowered at k = 10 (well below the recommended threshold of k ≥ 10–20 for Egger and ≥ 30 for trim-and-fill in most simulation studies). The publication-bias results are presented descriptively rather than as inferential tests of bias.</w:t>
      </w:r>
    </w:p>
    <w:p>
      <w:pPr>
        <w:spacing w:before="200" w:after="120" w:line="312" w:lineRule="auto"/>
      </w:pPr>
      <w:r>
        <w:rPr>
          <w:b/>
          <w:sz w:val="24"/>
        </w:rPr>
        <w:t>R2-6 — Cautious causal language</w:t>
      </w:r>
    </w:p>
    <w:p>
      <w:pPr>
        <w:spacing w:before="0" w:after="120" w:line="312" w:lineRule="auto"/>
      </w:pPr>
      <w:r>
        <w:rPr>
          <w:b/>
          <w:sz w:val="22"/>
        </w:rPr>
        <w:t>Response.</w:t>
      </w:r>
    </w:p>
    <w:p>
      <w:pPr>
        <w:spacing w:before="0" w:after="120" w:line="312" w:lineRule="auto"/>
      </w:pPr>
      <w:r>
        <w:rPr>
          <w:sz w:val="22"/>
        </w:rPr>
        <w:t>An audit pass has been applied to the Abstract, Results, and Discussion to ensure that the language consistently emphasises association rather than causal prediction; "predict," "predictor," and "effect" have been replaced with "correlate with," "is associated with," or "pooled estimate" wherever the analytic claim is correlational rather than causal. The directional language remaining (e.g., "positive association") is appropriate for correlational statistics and is so flagged.</w:t>
      </w:r>
    </w:p>
    <w:p>
      <w:pPr>
        <w:spacing w:before="200" w:after="120" w:line="312" w:lineRule="auto"/>
      </w:pPr>
      <w:r>
        <w:rPr>
          <w:b/>
          <w:sz w:val="24"/>
        </w:rPr>
        <w:t>R2-7 — Tightened practical-implications subsection</w:t>
      </w:r>
    </w:p>
    <w:p>
      <w:pPr>
        <w:spacing w:before="0" w:after="120" w:line="312" w:lineRule="auto"/>
      </w:pPr>
      <w:r>
        <w:rPr>
          <w:b/>
          <w:sz w:val="22"/>
        </w:rPr>
        <w:t>Response.</w:t>
      </w:r>
    </w:p>
    <w:p>
      <w:pPr>
        <w:spacing w:before="0" w:after="120" w:line="312" w:lineRule="auto"/>
      </w:pPr>
      <w:r>
        <w:rPr>
          <w:sz w:val="22"/>
        </w:rPr>
        <w:t>The previous Practical Implications subsection has been renamed Tentative Practical Implications and now opens with an explicit caveat paragraph stating that the implications are tentative hypotheses rather than actionable design or pedagogical recommendations. The implications themselves have been consolidated and re-framed as exploratory leads for primary-research replication.</w:t>
      </w:r>
    </w:p>
    <w:p>
      <w:pPr>
        <w:spacing w:before="200" w:after="120" w:line="312" w:lineRule="auto"/>
      </w:pPr>
      <w:r>
        <w:rPr>
          <w:b/>
          <w:sz w:val="24"/>
        </w:rPr>
        <w:t>R2-8 — Subject discipline as a future moderator</w:t>
      </w:r>
    </w:p>
    <w:p>
      <w:pPr>
        <w:spacing w:before="0" w:after="120" w:line="312" w:lineRule="auto"/>
      </w:pPr>
      <w:r>
        <w:rPr>
          <w:b/>
          <w:sz w:val="22"/>
        </w:rPr>
        <w:t>Response.</w:t>
      </w:r>
    </w:p>
    <w:p>
      <w:pPr>
        <w:spacing w:before="0" w:after="120" w:line="312" w:lineRule="auto"/>
      </w:pPr>
      <w:r>
        <w:rPr>
          <w:sz w:val="22"/>
        </w:rPr>
        <w:t>Reviewer 2's suggestion of subject discipline (or discipline group) as a potential moderator has been added to the Future Research Directions subsection as a priority for a subsequent meta-analytic update, alongside facet-level analyses and within-learner modality contrasts.</w:t>
      </w:r>
    </w:p>
    <w:p>
      <w:pPr>
        <w:spacing w:before="280" w:after="120" w:line="312" w:lineRule="auto"/>
      </w:pPr>
      <w:r>
        <w:rPr>
          <w:b/>
          <w:sz w:val="24"/>
        </w:rPr>
        <w:t>Closing</w:t>
      </w:r>
    </w:p>
    <w:p>
      <w:pPr>
        <w:spacing w:before="0" w:after="120" w:line="312" w:lineRule="auto"/>
      </w:pPr>
      <w:r>
        <w:rPr>
          <w:sz w:val="22"/>
        </w:rPr>
        <w:t>All seven Reviewer 2 suggestions have been incorporated, and the additional research-direction suggestion (subject discipline as a moderator) has been added to the Future Research Directions subsection. I am grateful to Reviewer 2 for the constructive evaluation.</w:t>
      </w:r>
    </w:p>
    <w:p>
      <w:pPr>
        <w:spacing w:before="120" w:after="120" w:line="312" w:lineRule="auto"/>
      </w:pPr>
      <w:r>
        <w:rPr>
          <w:sz w:val="22"/>
        </w:rPr>
        <w:t>Sincerely,</w:t>
      </w:r>
    </w:p>
    <w:p>
      <w:pPr>
        <w:spacing w:before="0" w:after="120" w:line="312" w:lineRule="auto"/>
      </w:pPr>
      <w:r>
        <w:rPr>
          <w:sz w:val="22"/>
        </w:rPr>
      </w:r>
    </w:p>
    <w:p>
      <w:pPr>
        <w:spacing w:before="0" w:after="0" w:line="312" w:lineRule="auto"/>
      </w:pPr>
      <w:r>
        <w:rPr>
          <w:sz w:val="20"/>
        </w:rPr>
        <w:t>Eisuke Tokiwa</w:t>
      </w:r>
    </w:p>
    <w:p>
      <w:pPr>
        <w:spacing w:before="0" w:after="0" w:line="312" w:lineRule="auto"/>
      </w:pPr>
      <w:r>
        <w:rPr>
          <w:sz w:val="20"/>
        </w:rPr>
        <w:t>Founder, SUNBLAZE Co., Ltd., Tokyo, Japan</w:t>
      </w:r>
    </w:p>
    <w:p>
      <w:pPr>
        <w:spacing w:before="0" w:after="0" w:line="312" w:lineRule="auto"/>
      </w:pPr>
      <w:r>
        <w:rPr>
          <w:sz w:val="20"/>
        </w:rPr>
        <w:t>ORCID: 0009-0009-7124-6669</w:t>
      </w:r>
    </w:p>
    <w:p>
      <w:pPr>
        <w:spacing w:before="0" w:after="0" w:line="312" w:lineRule="auto"/>
      </w:pPr>
      <w:r>
        <w:rPr>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