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scoping review maps the available evidence on the Big Five-achievement association specifically in online, blended, and MOOC learning environments and provides an exploratory quantitative synthesis of the subset of studies amenable to meta-analysis. Following the PRISMA-ScR extension for scoping reviews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rFonts w:ascii="Times New Roman" w:hAnsi="Times New Roman" w:eastAsia="Times New Roman"/>
          <w:i/>
          <w:sz w:val="24"/>
        </w:rPr>
        <w:t>N</w:t>
      </w:r>
      <w:r>
        <w:rPr>
          <w:rFonts w:ascii="Times New Roman" w:hAnsi="Times New Roman" w:eastAsia="Times New Roman"/>
          <w:sz w:val="24"/>
        </w:rPr>
        <w:t xml:space="preserve"> = 3,384),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Within this small and potentially incomplete map, Conscientiousness showed the largest exploratory pooled estimate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Pre-registered exploratory subgroup contrasts described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 but rest on as few as two studies per subgroup and should be treated as descriptive observations within the scoping map rather than as confirmatory tests of interaction. The map is broadly consistent with the Personality-Achievement Saturation Hypothesis (Meyer et al., 2023) tentatively extended to technology-mediated learning, but the small mappable pool (</w:t>
      </w:r>
      <w:r>
        <w:rPr>
          <w:rFonts w:ascii="Times New Roman" w:hAnsi="Times New Roman" w:eastAsia="Times New Roman"/>
          <w:i/>
          <w:sz w:val="24"/>
        </w:rPr>
        <w:t>k</w:t>
      </w:r>
      <w:r>
        <w:rPr>
          <w:rFonts w:ascii="Times New Roman" w:hAnsi="Times New Roman" w:eastAsia="Times New Roman"/>
          <w:sz w:val="24"/>
        </w:rP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scoping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our knowledge, the first scoping mapping of the association between Big Five personality traits and academic achievement that focuses specifically on online learning environments. Consistent with PRISMA-ScR convention (Tricco et al., 2018), the review is organised around mapping questions and directional priors rather than around hypothesis tests. Three mapping questions are addressed. First (MQ1),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Third (MQ3), is the personality-achievement association in online environments fully accounted for by mediating constructs such as self-efficacy and self-regulation, or does it exhibit direct effects beyond these mediators? Because the evidence base is small and the executed search is incomplete relative to the pre-registered information-source plan, all three mapping questions are addressed descriptively rather than as confirmatory tests.</w:t>
      </w:r>
    </w:p>
    <w:p>
      <w:pPr>
        <w:spacing w:line="480" w:lineRule="auto" w:before="0" w:after="0"/>
        <w:ind w:firstLine="720"/>
      </w:pPr>
      <w:r>
        <w:rPr>
          <w:rFonts w:ascii="Times New Roman" w:hAnsi="Times New Roman" w:eastAsia="Times New Roman"/>
          <w:sz w:val="24"/>
        </w:rPr>
        <w:t xml:space="preserve">Five directional priors, pre-specified in the OSF registration (https://osf.io/e5w47/) as hypotheses, are reframed here as mapping priors (MP1 through MP5) that describe expectations against which the mapped evidence can be compared descriptively. Mapping Prior 1 (MP1) states that Conscientiousness is expected to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Mapping Prior 2 (MP2) states that Openness is expected to show the second-strongest positive correlation, potentially stronger than in face-to-face contexts, reflecting the premium placed on self-directed exploration in online environments. Mapping Prior 3 (MP3) states that Agreeableness is expected to show a small positive correlation, potentially weaker than in face-to-face contexts because cooperative group behaviors are less central in asynchronous online environments. Mapping Prior 4 (MP4) states that Neuroticism is expected to show a negative correlation, more pronounced in fully online than in blended modalities, reflecting the isolating and technology-mediated nature of fully online environments. Mapping Prior 5 (MP5) states that Extraversion is expected to show a null or weak negative correlation, with possible facet-level cancellation between sociability (expected negative) and assertiveness (expected positive) components, reflecting the reduced social presence of online environments. Mapping Priors MP2, MP4, and MP5 constitute the modality-specific contribution of this review, as they describe expected modality-related divergences from established patterns observed in face-to-face meta-analyses; the review evaluates the available evidence descriptively against these priors rather than performing formal hypothesis tests.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PRISMA-ScR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exploratory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Completeness-of-Evidence Mapping (adapted from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 re-framed as a completeness-of-evidence mapping for this scoping review —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exploratory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quantitative analyses were performed in Python (version ≥ 3.11) using the scientific Python stack as the primary engine for random-effects meta-analysis, mixed-effects meta-regression, and heterogeneity diagnostics: NumPy and SciPy for numerical primitives (REML </w:t>
      </w:r>
      <w:r>
        <w:rPr>
          <w:rFonts w:ascii="Times New Roman" w:hAnsi="Times New Roman" w:eastAsia="Times New Roman"/>
          <w:i/>
          <w:sz w:val="24"/>
        </w:rPr>
        <w:t>τ²</w:t>
      </w:r>
      <w:r>
        <w:rPr>
          <w:rFonts w:ascii="Times New Roman" w:hAnsi="Times New Roman" w:eastAsia="Times New Roman"/>
          <w:sz w:val="24"/>
        </w:rPr>
        <w:t xml:space="preserve"> estimation, Fisher-z transformations, Hartung-Knapp-Sidik-Jonkman confidence-interval adjustment, Q-statistic and </w:t>
      </w:r>
      <w:r>
        <w:rPr>
          <w:rFonts w:ascii="Times New Roman" w:hAnsi="Times New Roman" w:eastAsia="Times New Roman"/>
          <w:i/>
          <w:sz w:val="24"/>
        </w:rPr>
        <w:t>I²</w:t>
      </w:r>
      <w:r>
        <w:rPr>
          <w:rFonts w:ascii="Times New Roman" w:hAnsi="Times New Roman" w:eastAsia="Times New Roman"/>
          <w:sz w:val="24"/>
        </w:rP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scoping-retained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exploratory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exploratory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exploratory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consistent with Mapping Prior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consistent with the descriptive direction of MP1,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Mapping Prior 5 (MP5),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Mapping Prior 3 (MP3), which predicted a weaker Agreeableness effect in online than in face-to-face contexts. Within the exploratory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exploratory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Mapping Prior 4 (MP4), which expected a negative effect more pronounced in fully online than in blended modalities; MP4 was not consistent with the evidence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exploratory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MP4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Mapping Prior 5, further supporting the hypothesis when asymmetry is considered. Trim-and-fill adjusted estimates are reported as a sensitivity check only and do not replace the exploratory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Completeness-of-Evidence Summary</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MP5,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scoping review with exploratory quantitative synthesis provides , to the author's knowledge,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Mapping Prior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MP1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Mapping Prior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MP2 is not supported. The prediction that online environments would amplify the Openness effect through a premium on self-directed exploration was not borne out; the failure to support MP2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Mapping Prior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exploratory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Mapping Prior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MP4 — an overall negative pooled effect — is not supported by the primary analysis. The second component of MP4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MP4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Mapping Prior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MP5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MP5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Tentative Practical Implications</w:t>
      </w:r>
    </w:p>
    <w:p>
      <w:pPr>
        <w:spacing w:line="480" w:lineRule="auto" w:before="0" w:after="0"/>
        <w:ind w:firstLine="720"/>
      </w:pPr>
      <w:r>
        <w:rPr>
          <w:rFonts w:ascii="Times New Roman" w:hAnsi="Times New Roman" w:eastAsia="Times New Roman"/>
          <w:sz w:val="24"/>
        </w:rPr>
        <w:t>We note up front that the practical implications below are best read as tentative working hypotheses rather than as actionable design or pedagogical recommendations. The exploratory achievement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pPr>
        <w:spacing w:line="480" w:lineRule="auto" w:before="0" w:after="0"/>
        <w:ind w:firstLine="720"/>
      </w:pPr>
      <w:r>
        <w:rPr>
          <w:rFonts w:ascii="Times New Roman" w:hAnsi="Times New Roman" w:eastAsia="Times New Roman"/>
          <w:sz w:val="24"/>
        </w:rPr>
        <w:t>Subject to those caveats, the preserved (albeit slightly reduced) Conscientiousness effect (</w:t>
      </w:r>
      <w:r>
        <w:rPr>
          <w:rFonts w:ascii="Times New Roman" w:hAnsi="Times New Roman" w:eastAsia="Times New Roman"/>
          <w:i/>
          <w:sz w:val="24"/>
        </w:rPr>
        <w:t>r</w:t>
      </w:r>
      <w:r>
        <w:rPr>
          <w:rFonts w:ascii="Times New Roman" w:hAnsi="Times New Roman" w:eastAsia="Times New Roman"/>
          <w:sz w:val="24"/>
        </w:rP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pPr>
        <w:spacing w:line="480" w:lineRule="auto" w:before="0" w:after="0"/>
        <w:ind w:firstLine="720"/>
      </w:pPr>
      <w:r>
        <w:rPr>
          <w:rFonts w:ascii="Times New Roman" w:hAnsi="Times New Roman" w:eastAsia="Times New Roman"/>
          <w:sz w:val="24"/>
        </w:rP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pPr>
        <w:spacing w:line="480" w:lineRule="auto" w:before="0" w:after="0"/>
        <w:ind w:firstLine="720"/>
      </w:pPr>
      <w:r>
        <w:rPr>
          <w:rFonts w:ascii="Times New Roman" w:hAnsi="Times New Roman" w:eastAsia="Times New Roman"/>
          <w:sz w:val="24"/>
        </w:rPr>
        <w:t>The larger-than-expected Agreeableness pooled estimate (</w:t>
      </w:r>
      <w:r>
        <w:rPr>
          <w:rFonts w:ascii="Times New Roman" w:hAnsi="Times New Roman" w:eastAsia="Times New Roman"/>
          <w:i/>
          <w:sz w:val="24"/>
        </w:rPr>
        <w:t>r</w:t>
      </w:r>
      <w:r>
        <w:rPr>
          <w:rFonts w:ascii="Times New Roman" w:hAnsi="Times New Roman" w:eastAsia="Times New Roman"/>
          <w:sz w:val="24"/>
        </w:rPr>
        <w:t xml:space="preserve"> = .112) is driven primarily by a single Chinese MOOC sample (Yu, 2021); the pre-specified single-study leave-one-out sensitivity analysis showed that excluding this study substantially attenuates the Agreeableness 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exploratory pool and should be revisited as the literature grows.</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predictor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