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A HEXACO 7-Typology Counterfactual Microsimulation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discloses a potential competing interest as detailed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Competing Interests</w:t>
      </w:r>
    </w:p>
    <w:p>
      <w:pPr>
        <w:spacing w:line="480" w:lineRule="auto" w:before="0" w:after="0"/>
      </w:pPr>
      <w:r>
        <w:rPr>
          <w:rFonts w:ascii="Times New Roman" w:hAnsi="Times New Roman" w:eastAsia="Times New Roman"/>
          <w:sz w:val="24"/>
        </w:rPr>
        <w:t>The author discloses the following potential competing interest: the author is the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sponsor, or direct the research.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The present study is a secondary analysis of these de-identified data and does not introduce any new contact with participants; consistent with standard practice for secondary analysis of de-identified data covered by the original IRB approval, no additional ethics review was sought.</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original survey (the underlying N = 354 dataset and its descriptive analyses) is available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pPr>
        <w:spacing w:line="480" w:lineRule="auto" w:before="0" w:after="0"/>
      </w:pPr>
    </w:p>
    <w:p>
      <w:pPr>
        <w:spacing w:line="480" w:lineRule="auto" w:before="0" w:after="0"/>
      </w:pPr>
      <w:r>
        <w:rPr>
          <w:rFonts w:ascii="Times New Roman" w:hAnsi="Times New Roman" w:eastAsia="Times New Roman"/>
          <w:sz w:val="24"/>
        </w:rPr>
        <w:t>Note (journal submission): This manuscript is being submitted as a Stage 2 Registered Report. Conditional acceptance based on Stage 1 review of the v2.0 protocol document (https://osf.io/3y54u) is acknowledged in the accompanying cover letter.</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is associated with substantial mental-health and labor-supply costs in Japan, where Ministry of Health, Labour and Welfare (MHLW) surveys document past-three-year power-harassment victimization declining from 32.5% (FY2016) to 19.3% (FY2023) over the period spanning enforcement of the 2020 Power Harassment Prevention Law. The relative population-level magnitude of plausible person-level versus system-level interventions during this period has not been quantitatively compared in a pre-registered counterfactual framework. We pre-registered (OSF DOI 10.17605/OSF.IO/3Y54U) a 7-typology HEXACO microsimulation that emulates a target trial of three counterfactual interventions: (A) a universal +0.3 SD shift on Honesty-Humility, Agreeableness, and Emotionality; (B) a +0.40 SD Honesty-Humility shift restricted to individuals already in three low-prevalence typologies (Clusters {0, 4, 6}); and (C) a structural cell-level propensity reduction of 20%, calibrated against three meta-analyses of organizational anti-harassment interventions and the MHLW FY2016–FY2023 −13.2-percentage-point natural-experiment-like decline. Using N = 354 individual-level observations partitioned into 14 cells (7 typologies × 2 genders) with cell-stratified bootstrap (B = 10,000), Beta-Binomial empirical Bayes shrinkage, and a four-step BCa confidence-interval cascade, the personality-intervention contrasts are statistically null (ΔP_A = −0.0061, 95% CI [−0.0207, +0.0062]; ΔP_B = −0.0059, 95% CI [−0.0207, +0.0066]), whereas the structural-intervention contrast is positive (ΔP_C = +0.0349, 95% CI [+0.0264, +0.0435]). The pre-registered intersection-union test classifies this configuration as REVERSAL: in absolute magnitude, |ΔP_C|/|ΔP_A| ≈ 5.7. The classification is robust across cultural attenuation factors of 0.3–1.0 and across nine pre-registered analytic choices. We interpret these contrasts conditional on the prior meta-analytic and natural-experiment effect sizes from which each counterfactual was calibrated. The findings are consistent with treating HEXACO 7-typology as a stratification variable that identifies differentially exposed subpopulations rather than as a target for individual-level personality modification, and we caution against interpreting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 xml:space="preserve">In a companion study, our research group identified seven robust HEXACO clusters in a Japanese sample of N = 13,668 (Tokiwa, 2026, </w:t>
      </w:r>
      <w:r>
        <w:rPr>
          <w:rFonts w:ascii="Times New Roman" w:hAnsi="Times New Roman" w:eastAsia="Times New Roman"/>
          <w:i/>
          <w:sz w:val="24"/>
        </w:rPr>
        <w:t>IEEE Access</w:t>
      </w:r>
      <w:r>
        <w:rPr>
          <w:rFonts w:ascii="Times New Roman" w:hAnsi="Times New Roman" w:eastAsia="Times New Roman"/>
          <w:sz w:val="24"/>
        </w:rPr>
        <w:t xml:space="preserve">; herein "the centroid study"). The seven typologies — labeled here as types 0 through 6 — span the joint distribution of HEXACO domains and provide a parsimonious taxonomy for categorizing individuals according to their personality profile. The present study leverages these </w:t>
      </w:r>
      <w:r>
        <w:rPr>
          <w:rFonts w:ascii="Times New Roman" w:hAnsi="Times New Roman" w:eastAsia="Times New Roman"/>
          <w:i/>
          <w:sz w:val="24"/>
        </w:rPr>
        <w:t>IEEE Access</w:t>
      </w:r>
      <w:r>
        <w:rPr>
          <w:rFonts w:ascii="Times New Roman" w:hAnsi="Times New Roman" w:eastAsia="Times New Roman"/>
          <w:sz w:val="24"/>
        </w:rPr>
        <w:t>–published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 20260429, Docker container, MIT-licensed code; public supplementary archive at OSF DOI 10.17605/OSF.IO/3Y54U), open aggregate data (Stage 0–8 HDF5 artifacts, figures, and a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w:t>
      </w:r>
      <w:r>
        <w:rPr>
          <w:rFonts w:ascii="Times New Roman" w:hAnsi="Times New Roman" w:eastAsia="Times New Roman"/>
          <w:i/>
          <w:sz w:val="24"/>
        </w:rPr>
        <w:t>IEEE Access</w:t>
      </w:r>
      <w:r>
        <w:rPr>
          <w:rFonts w:ascii="Times New Roman" w:hAnsi="Times New Roman" w:eastAsia="Times New Roman"/>
          <w:sz w:val="24"/>
        </w:rPr>
        <w:t xml:space="preserve"> clustering paper, Tokiwa, 2026).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 xml:space="preserve">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w:t>
      </w:r>
      <w:r>
        <w:rPr>
          <w:rFonts w:ascii="Times New Roman" w:hAnsi="Times New Roman" w:eastAsia="Times New Roman"/>
          <w:sz w:val="24"/>
        </w:rPr>
        <w:t>make reproduce</w:t>
      </w:r>
      <w:r>
        <w:rPr>
          <w:rFonts w:ascii="Times New Roman" w:hAnsi="Times New Roman" w:eastAsia="Times New Roman"/>
          <w:sz w:val="24"/>
        </w:rPr>
        <w:t xml:space="preserv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w:t>
      </w:r>
      <w:r>
        <w:rPr>
          <w:rFonts w:ascii="Times New Roman" w:hAnsi="Times New Roman" w:eastAsia="Times New Roman"/>
          <w:i/>
          <w:sz w:val="24"/>
        </w:rPr>
        <w:t>IEEE Access</w:t>
      </w:r>
      <w:r>
        <w:rPr>
          <w:rFonts w:ascii="Times New Roman" w:hAnsi="Times New Roman" w:eastAsia="Times New Roman"/>
          <w:sz w:val="24"/>
        </w:rPr>
        <w:t xml:space="preserve">; DOI 10.1109/ACCESS.2026.3651324) clustering of N = 13,668 Japanese respondents. Per pre-registration v2.0 Methods Clarification M3,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jackknife acceleration parameter â (Methods Clarification m4)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 xml:space="preserve">The national prevalence is computed as the weighted sum P̂_t = Σ_c (p̂_c × W_c) / Σ_c W_c, where W_c is the cluster × gender population weight. Cluster proportions remain at the Tokiwa (2026, </w:t>
      </w:r>
      <w:r>
        <w:rPr>
          <w:rFonts w:ascii="Times New Roman" w:hAnsi="Times New Roman" w:eastAsia="Times New Roman"/>
          <w:i/>
          <w:sz w:val="24"/>
        </w:rPr>
        <w:t>IEEE Access</w:t>
      </w:r>
      <w:r>
        <w:rPr>
          <w:rFonts w:ascii="Times New Roman" w:hAnsi="Times New Roman" w:eastAsia="Times New Roman"/>
          <w:sz w:val="24"/>
        </w:rPr>
        <w:t>)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w:t>
      </w:r>
      <w:r>
        <w:rPr>
          <w:rFonts w:ascii="Times New Roman" w:hAnsi="Times New Roman" w:eastAsia="Times New Roman"/>
          <w:sz w:val="24"/>
        </w:rPr>
        <w:t>code/stage7_counterfactual.py:DELTA_B_MAIN_SD</w:t>
      </w:r>
      <w:r>
        <w:rPr>
          <w:rFonts w:ascii="Times New Roman" w:hAnsi="Times New Roman" w:eastAsia="Times New Roman"/>
          <w:sz w:val="24"/>
        </w:rPr>
        <w:t xml:space="preserve">)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 xml:space="preserve">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w:t>
      </w:r>
      <w:r>
        <w:rPr>
          <w:rFonts w:ascii="Times New Roman" w:hAnsi="Times New Roman" w:eastAsia="Times New Roman"/>
          <w:sz w:val="24"/>
        </w:rPr>
        <w:t>simulation/code/verify_reproduction.py</w:t>
      </w:r>
      <w:r>
        <w:rPr>
          <w:rFonts w:ascii="Times New Roman" w:hAnsi="Times New Roman" w:eastAsia="Times New Roman"/>
          <w:sz w:val="24"/>
        </w:rPr>
        <w:t xml:space="preserve"> and compared against </w:t>
      </w:r>
      <w:r>
        <w:rPr>
          <w:rFonts w:ascii="Times New Roman" w:hAnsi="Times New Roman" w:eastAsia="Times New Roman"/>
          <w:sz w:val="24"/>
        </w:rPr>
        <w:t>reference_hashes.json</w:t>
      </w:r>
      <w:r>
        <w:rPr>
          <w:rFonts w:ascii="Times New Roman" w:hAnsi="Times New Roman" w:eastAsia="Times New Roman"/>
          <w:sz w:val="24"/>
        </w:rPr>
        <w:t xml:space="preserve">. The Docker container </w:t>
      </w:r>
      <w:r>
        <w:rPr>
          <w:rFonts w:ascii="Times New Roman" w:hAnsi="Times New Roman" w:eastAsia="Times New Roman"/>
          <w:sz w:val="24"/>
        </w:rPr>
        <w:t>Dockerfile</w:t>
      </w:r>
      <w:r>
        <w:rPr>
          <w:rFonts w:ascii="Times New Roman" w:hAnsi="Times New Roman" w:eastAsia="Times New Roman"/>
          <w:sz w:val="24"/>
        </w:rPr>
        <w:t xml:space="preserve"> and the </w:t>
      </w:r>
      <w:r>
        <w:rPr>
          <w:rFonts w:ascii="Times New Roman" w:hAnsi="Times New Roman" w:eastAsia="Times New Roman"/>
          <w:sz w:val="24"/>
        </w:rPr>
        <w:t>Makefile</w:t>
      </w:r>
      <w:r>
        <w:rPr>
          <w:rFonts w:ascii="Times New Roman" w:hAnsi="Times New Roman" w:eastAsia="Times New Roman"/>
          <w:sz w:val="24"/>
        </w:rPr>
        <w:t xml:space="preserve"> </w:t>
      </w:r>
      <w:r>
        <w:rPr>
          <w:rFonts w:ascii="Times New Roman" w:hAnsi="Times New Roman" w:eastAsia="Times New Roman"/>
          <w:sz w:val="24"/>
        </w:rPr>
        <w:t>reproduce</w:t>
      </w:r>
      <w:r>
        <w:rPr>
          <w:rFonts w:ascii="Times New Roman" w:hAnsi="Times New Roman" w:eastAsia="Times New Roman"/>
          <w:sz w:val="24"/>
        </w:rPr>
        <w:t xml:space="preserv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 xml:space="preserve">The N = 354 sample was assigned to 14 cells (7 HEXACO clusters × 2 genders) via Euclidean nearest-centroid hard-assignment, using the Tokiwa (2026, </w:t>
      </w:r>
      <w:r>
        <w:rPr>
          <w:rFonts w:ascii="Times New Roman" w:hAnsi="Times New Roman" w:eastAsia="Times New Roman"/>
          <w:i/>
          <w:sz w:val="24"/>
        </w:rPr>
        <w:t>IEEE Access</w:t>
      </w:r>
      <w:r>
        <w:rPr>
          <w:rFonts w:ascii="Times New Roman" w:hAnsi="Times New Roman" w:eastAsia="Times New Roman"/>
          <w:sz w:val="24"/>
        </w:rPr>
        <w:t>)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m7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m5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IEEE Access) via stability analyses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m7 priority-1 condition (point ΔP_B &lt; point ΔP_C; L_BC = −0.0544 also lies below zero in the CI cascade, providing CI-based corroboration of REVERSAL that does not rely on the ΔP_B point estimate, which is downgraded to exploratory under the m5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 xml:space="preserve">Per Methods Clarification m8, the 7-cluster proportions used in Stage 1 reweighting remain fixed at the Tokiwa (2026, </w:t>
      </w:r>
      <w:r>
        <w:rPr>
          <w:rFonts w:ascii="Times New Roman" w:hAnsi="Times New Roman" w:eastAsia="Times New Roman"/>
          <w:i/>
          <w:sz w:val="24"/>
        </w:rPr>
        <w:t>IEEE Access</w:t>
      </w:r>
      <w:r>
        <w:rPr>
          <w:rFonts w:ascii="Times New Roman" w:hAnsi="Times New Roman" w:eastAsia="Times New Roman"/>
          <w:sz w:val="24"/>
        </w:rPr>
        <w:t>)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per pre-registered v2.0 Section 5.7.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m7 priority-1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(Methods Clarification m5):</w:t>
      </w:r>
      <w:r>
        <w:rPr>
          <w:rFonts w:ascii="Times New Roman" w:hAnsi="Times New Roman" w:eastAsia="Times New Roman"/>
          <w:sz w:val="24"/>
        </w:rPr>
        <w:t xml:space="preserve">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IEEE Access)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The 14-cell vs 28-cell sensitivity (28-cell adds × 2 roles, not a re-split of gender) is reported as a robustness check on role-stratification stability rather than as a re-test of gender invariance.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 xml:space="preserve">A box-and-arrow diagram of the nine pre-registered pipeline stages, showing the data inputs (N=354 individual data; Tokiwa 2026 </w:t>
      </w:r>
      <w:r>
        <w:rPr>
          <w:rFonts w:ascii="Times New Roman" w:hAnsi="Times New Roman" w:eastAsia="Times New Roman"/>
          <w:i/>
          <w:sz w:val="24"/>
        </w:rPr>
        <w:t>IEEE Access</w:t>
      </w:r>
      <w:r>
        <w:rPr>
          <w:rFonts w:ascii="Times New Roman" w:hAnsi="Times New Roman" w:eastAsia="Times New Roman"/>
          <w:sz w:val="24"/>
        </w:rPr>
        <w:t xml:space="preserve"> 7-cluster centroids; Statistics Bureau (MIC) Labor Force Survey 2022) flowing through Stages 0–8 with their HDF5 outputs. Generated as PNG/PDF/SVG by </w:t>
      </w:r>
      <w:r>
        <w:rPr>
          <w:rFonts w:ascii="Times New Roman" w:hAnsi="Times New Roman" w:eastAsia="Times New Roman"/>
          <w:sz w:val="24"/>
        </w:rPr>
        <w:t>simulation/code/figures.py</w:t>
      </w:r>
      <w:r>
        <w:rPr>
          <w:rFonts w:ascii="Times New Roman" w:hAnsi="Times New Roman" w:eastAsia="Times New Roman"/>
          <w:sz w:val="24"/>
        </w:rPr>
        <w:t xml:space="preserve"> (Makefile target </w:t>
      </w:r>
      <w:r>
        <w:rPr>
          <w:rFonts w:ascii="Times New Roman" w:hAnsi="Times New Roman" w:eastAsia="Times New Roman"/>
          <w:sz w:val="24"/>
        </w:rPr>
        <w:t>figures</w:t>
      </w:r>
      <w:r>
        <w:rPr>
          <w:rFonts w:ascii="Times New Roman" w:hAnsi="Times New Roman" w:eastAsia="Times New Roman"/>
          <w:sz w:val="24"/>
        </w:rPr>
        <w:t>).</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