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97333" w14:textId="77777777" w:rsidR="006A2C5A" w:rsidRDefault="006A2C5A">
      <w:pPr>
        <w:spacing w:after="0" w:line="480" w:lineRule="auto"/>
        <w:jc w:val="center"/>
      </w:pPr>
    </w:p>
    <w:p w14:paraId="28256A88" w14:textId="77777777" w:rsidR="006A2C5A" w:rsidRDefault="006A2C5A">
      <w:pPr>
        <w:spacing w:after="0" w:line="480" w:lineRule="auto"/>
        <w:jc w:val="center"/>
      </w:pPr>
    </w:p>
    <w:p w14:paraId="3E74B8AD" w14:textId="77777777" w:rsidR="006A2C5A" w:rsidRDefault="006A2C5A">
      <w:pPr>
        <w:spacing w:after="0" w:line="480" w:lineRule="auto"/>
        <w:jc w:val="center"/>
      </w:pPr>
    </w:p>
    <w:p w14:paraId="1EDD9373" w14:textId="77777777" w:rsidR="006A2C5A" w:rsidRDefault="006A2C5A">
      <w:pPr>
        <w:spacing w:after="0" w:line="480" w:lineRule="auto"/>
        <w:jc w:val="center"/>
      </w:pPr>
    </w:p>
    <w:p w14:paraId="356E6B02" w14:textId="77777777" w:rsidR="006A2C5A" w:rsidRDefault="00000000">
      <w:pPr>
        <w:spacing w:after="0" w:line="480" w:lineRule="auto"/>
        <w:jc w:val="center"/>
      </w:pPr>
      <w:r>
        <w:rPr>
          <w:b/>
        </w:rPr>
        <w:t>Big Five Personality Traits and Academic Achievement in Online Learning Environments: A Systematic Review and Meta-Analysis</w:t>
      </w:r>
    </w:p>
    <w:p w14:paraId="680C0976" w14:textId="77777777" w:rsidR="006A2C5A" w:rsidRDefault="006A2C5A">
      <w:pPr>
        <w:spacing w:after="0" w:line="480" w:lineRule="auto"/>
        <w:jc w:val="center"/>
      </w:pPr>
    </w:p>
    <w:p w14:paraId="30D3D6A0" w14:textId="77777777" w:rsidR="006A2C5A" w:rsidRDefault="00000000">
      <w:pPr>
        <w:spacing w:after="0" w:line="480" w:lineRule="auto"/>
        <w:jc w:val="center"/>
      </w:pPr>
      <w:r>
        <w:t>Eisuke Tokiwa</w:t>
      </w:r>
    </w:p>
    <w:p w14:paraId="49DD7B09" w14:textId="77777777" w:rsidR="006A2C5A" w:rsidRDefault="00000000">
      <w:pPr>
        <w:spacing w:after="0" w:line="480" w:lineRule="auto"/>
        <w:jc w:val="center"/>
      </w:pPr>
      <w:r>
        <w:t>SUNBLAZE Co., Ltd., Tokyo, Japan</w:t>
      </w:r>
    </w:p>
    <w:p w14:paraId="50C5E9FA" w14:textId="77777777" w:rsidR="006A2C5A" w:rsidRDefault="006A2C5A">
      <w:pPr>
        <w:spacing w:after="0" w:line="480" w:lineRule="auto"/>
        <w:jc w:val="center"/>
      </w:pPr>
    </w:p>
    <w:p w14:paraId="53ADF043" w14:textId="77777777" w:rsidR="006A2C5A" w:rsidRDefault="006A2C5A">
      <w:pPr>
        <w:spacing w:after="0" w:line="480" w:lineRule="auto"/>
        <w:jc w:val="center"/>
      </w:pPr>
    </w:p>
    <w:p w14:paraId="52E72F61" w14:textId="77777777" w:rsidR="006A2C5A" w:rsidRDefault="00000000">
      <w:pPr>
        <w:spacing w:after="0" w:line="480" w:lineRule="auto"/>
        <w:jc w:val="center"/>
      </w:pPr>
      <w:r>
        <w:rPr>
          <w:b/>
        </w:rPr>
        <w:t>Author Note</w:t>
      </w:r>
    </w:p>
    <w:p w14:paraId="0A116B71" w14:textId="77777777" w:rsidR="006A2C5A" w:rsidRDefault="00000000">
      <w:pPr>
        <w:spacing w:after="0" w:line="480" w:lineRule="auto"/>
        <w:ind w:firstLine="720"/>
      </w:pPr>
      <w:r>
        <w:t>Eisuke Tokiwa https://orcid.org/0009-0009-7124-6669</w:t>
      </w:r>
    </w:p>
    <w:p w14:paraId="5953814D" w14:textId="77777777" w:rsidR="006A2C5A" w:rsidRDefault="00000000">
      <w:pPr>
        <w:spacing w:after="0" w:line="480" w:lineRule="auto"/>
        <w:ind w:firstLine="720"/>
      </w:pPr>
      <w: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14:paraId="73944A1A" w14:textId="77777777" w:rsidR="006A2C5A" w:rsidRDefault="00000000">
      <w:pPr>
        <w:spacing w:after="0" w:line="480" w:lineRule="auto"/>
        <w:ind w:firstLine="720"/>
      </w:pPr>
      <w:r>
        <w:t>Correspondence concerning this article should be addressed to Eisuke Tokiwa, SUNBLAZE Co., Ltd., Tokyo, Japan. Email: eisuke.tokiwa@sunblaze.jp</w:t>
      </w:r>
    </w:p>
    <w:p w14:paraId="1AEBAD33" w14:textId="77777777" w:rsidR="006A2C5A" w:rsidRDefault="00000000">
      <w:r>
        <w:br w:type="page"/>
      </w:r>
    </w:p>
    <w:p w14:paraId="2F21988C" w14:textId="77777777" w:rsidR="006A2C5A" w:rsidRDefault="00000000">
      <w:pPr>
        <w:spacing w:after="0" w:line="480" w:lineRule="auto"/>
      </w:pPr>
      <w:r>
        <w:rPr>
          <w:b/>
        </w:rPr>
        <w:lastRenderedPageBreak/>
        <w:t>Declarations</w:t>
      </w:r>
    </w:p>
    <w:p w14:paraId="36E60E0C" w14:textId="77777777" w:rsidR="006A2C5A" w:rsidRDefault="00000000">
      <w:pPr>
        <w:spacing w:after="0" w:line="480" w:lineRule="auto"/>
      </w:pPr>
      <w:r>
        <w:rPr>
          <w:b/>
        </w:rPr>
        <w:t>Conflict of Interest</w:t>
      </w:r>
    </w:p>
    <w:p w14:paraId="32B5BE5F" w14:textId="77777777" w:rsidR="006A2C5A" w:rsidRDefault="00000000">
      <w:pPr>
        <w:spacing w:after="0" w:line="480" w:lineRule="auto"/>
      </w:pPr>
      <w: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14:paraId="01551E74" w14:textId="77777777" w:rsidR="006A2C5A" w:rsidRDefault="006A2C5A">
      <w:pPr>
        <w:spacing w:after="0" w:line="480" w:lineRule="auto"/>
      </w:pPr>
    </w:p>
    <w:p w14:paraId="397DF6BF" w14:textId="77777777" w:rsidR="006A2C5A" w:rsidRDefault="00000000">
      <w:pPr>
        <w:spacing w:after="0" w:line="480" w:lineRule="auto"/>
      </w:pPr>
      <w:r>
        <w:rPr>
          <w:b/>
        </w:rPr>
        <w:t>Funding</w:t>
      </w:r>
    </w:p>
    <w:p w14:paraId="306FD67B" w14:textId="77777777" w:rsidR="006A2C5A" w:rsidRDefault="00000000">
      <w:pPr>
        <w:spacing w:after="0" w:line="480" w:lineRule="auto"/>
      </w:pPr>
      <w:r>
        <w:t>This research did not receive any specific grant from funding agencies in the public, commercial, or not-for-profit sectors.</w:t>
      </w:r>
    </w:p>
    <w:p w14:paraId="4D83EA80" w14:textId="77777777" w:rsidR="006A2C5A" w:rsidRDefault="006A2C5A">
      <w:pPr>
        <w:spacing w:after="0" w:line="480" w:lineRule="auto"/>
      </w:pPr>
    </w:p>
    <w:p w14:paraId="58C804B8" w14:textId="77777777" w:rsidR="006A2C5A" w:rsidRDefault="00000000">
      <w:pPr>
        <w:spacing w:after="0" w:line="480" w:lineRule="auto"/>
      </w:pPr>
      <w:r>
        <w:rPr>
          <w:b/>
        </w:rPr>
        <w:t>Ethics Approval</w:t>
      </w:r>
    </w:p>
    <w:p w14:paraId="0C69E6FB" w14:textId="77777777" w:rsidR="006A2C5A" w:rsidRDefault="00000000">
      <w:pPr>
        <w:spacing w:after="0" w:line="480" w:lineRule="auto"/>
      </w:pPr>
      <w:r>
        <w:t>Not applicable. This meta-analysis synthesizes data from previously published studies and does not involve direct collection of data from human participants. Ethical approval for the original studies was the responsibility of the authors of those studies.</w:t>
      </w:r>
    </w:p>
    <w:p w14:paraId="55CEE062" w14:textId="77777777" w:rsidR="006A2C5A" w:rsidRDefault="006A2C5A">
      <w:pPr>
        <w:spacing w:after="0" w:line="480" w:lineRule="auto"/>
      </w:pPr>
    </w:p>
    <w:p w14:paraId="7C82E817" w14:textId="77777777" w:rsidR="006A2C5A" w:rsidRDefault="00000000">
      <w:pPr>
        <w:spacing w:after="0" w:line="480" w:lineRule="auto"/>
      </w:pPr>
      <w:r>
        <w:rPr>
          <w:b/>
        </w:rPr>
        <w:t>Informed Consent</w:t>
      </w:r>
    </w:p>
    <w:p w14:paraId="450EA80D" w14:textId="77777777" w:rsidR="006A2C5A" w:rsidRDefault="00000000">
      <w:pPr>
        <w:spacing w:after="0" w:line="480" w:lineRule="auto"/>
      </w:pPr>
      <w:r>
        <w:t>Not applicable. All included studies obtained informed consent from their participants in accordance with institutional and journal requirements at the time of original data collection.</w:t>
      </w:r>
    </w:p>
    <w:p w14:paraId="5E51D190" w14:textId="77777777" w:rsidR="006A2C5A" w:rsidRDefault="006A2C5A">
      <w:pPr>
        <w:spacing w:after="0" w:line="480" w:lineRule="auto"/>
      </w:pPr>
    </w:p>
    <w:p w14:paraId="03E16F29" w14:textId="77777777" w:rsidR="006A2C5A" w:rsidRDefault="00000000">
      <w:pPr>
        <w:spacing w:after="0" w:line="480" w:lineRule="auto"/>
      </w:pPr>
      <w:r>
        <w:rPr>
          <w:b/>
        </w:rPr>
        <w:t>Pre-registration</w:t>
      </w:r>
    </w:p>
    <w:p w14:paraId="7A72364E" w14:textId="77777777" w:rsidR="006A2C5A" w:rsidRDefault="00000000">
      <w:pPr>
        <w:spacing w:after="0" w:line="480" w:lineRule="auto"/>
      </w:pPr>
      <w:r>
        <w:lastRenderedPageBreak/>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14:paraId="0A9A5A4E" w14:textId="77777777" w:rsidR="006A2C5A" w:rsidRDefault="006A2C5A">
      <w:pPr>
        <w:spacing w:after="0" w:line="480" w:lineRule="auto"/>
      </w:pPr>
    </w:p>
    <w:p w14:paraId="5E872180" w14:textId="77777777" w:rsidR="006A2C5A" w:rsidRDefault="00000000">
      <w:pPr>
        <w:spacing w:after="0" w:line="480" w:lineRule="auto"/>
      </w:pPr>
      <w:r>
        <w:rPr>
          <w:b/>
        </w:rPr>
        <w:t>Availability of data and material</w:t>
      </w:r>
    </w:p>
    <w:p w14:paraId="011D0A10" w14:textId="77777777" w:rsidR="006A2C5A" w:rsidRDefault="00000000">
      <w:pPr>
        <w:spacing w:after="0" w:line="480" w:lineRule="auto"/>
      </w:pPr>
      <w: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14:paraId="5217C421" w14:textId="77777777" w:rsidR="006A2C5A" w:rsidRDefault="006A2C5A">
      <w:pPr>
        <w:spacing w:after="0" w:line="480" w:lineRule="auto"/>
      </w:pPr>
    </w:p>
    <w:p w14:paraId="74CC084B" w14:textId="77777777" w:rsidR="006A2C5A" w:rsidRDefault="00000000">
      <w:pPr>
        <w:spacing w:after="0" w:line="480" w:lineRule="auto"/>
      </w:pPr>
      <w:r>
        <w:rPr>
          <w:b/>
        </w:rPr>
        <w:t>Authors' contributions</w:t>
      </w:r>
    </w:p>
    <w:p w14:paraId="52671689" w14:textId="77777777" w:rsidR="006A2C5A" w:rsidRDefault="00000000">
      <w:pPr>
        <w:spacing w:after="0" w:line="480" w:lineRule="auto"/>
      </w:pPr>
      <w:r>
        <w:lastRenderedPageBreak/>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14:paraId="57D8782F" w14:textId="77777777" w:rsidR="006A2C5A" w:rsidRDefault="006A2C5A">
      <w:pPr>
        <w:spacing w:after="0" w:line="480" w:lineRule="auto"/>
      </w:pPr>
    </w:p>
    <w:p w14:paraId="26878AED" w14:textId="77777777" w:rsidR="006A2C5A" w:rsidRDefault="00000000">
      <w:pPr>
        <w:spacing w:after="0" w:line="480" w:lineRule="auto"/>
      </w:pPr>
      <w:r>
        <w:rPr>
          <w:b/>
        </w:rPr>
        <w:t>Preprint Statement</w:t>
      </w:r>
    </w:p>
    <w:p w14:paraId="38E9767F" w14:textId="77777777" w:rsidR="006A2C5A" w:rsidRDefault="00000000">
      <w:pPr>
        <w:spacing w:after="0" w:line="480" w:lineRule="auto"/>
      </w:pPr>
      <w: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14:paraId="6F73BC27" w14:textId="77777777" w:rsidR="006A2C5A" w:rsidRDefault="006A2C5A">
      <w:pPr>
        <w:spacing w:after="0" w:line="480" w:lineRule="auto"/>
      </w:pPr>
    </w:p>
    <w:p w14:paraId="46061216" w14:textId="77777777" w:rsidR="006A2C5A" w:rsidRDefault="00000000">
      <w:pPr>
        <w:spacing w:after="0" w:line="480" w:lineRule="auto"/>
      </w:pPr>
      <w:r>
        <w:rPr>
          <w:b/>
        </w:rPr>
        <w:t>Acknowledgments</w:t>
      </w:r>
    </w:p>
    <w:p w14:paraId="71F0C1D0" w14:textId="77777777" w:rsidR="006A2C5A" w:rsidRDefault="00000000">
      <w:pPr>
        <w:spacing w:after="0" w:line="480" w:lineRule="auto"/>
      </w:pPr>
      <w: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14:paraId="3C483103" w14:textId="77777777" w:rsidR="006A2C5A" w:rsidRDefault="006A2C5A">
      <w:pPr>
        <w:spacing w:after="0" w:line="480" w:lineRule="auto"/>
      </w:pPr>
    </w:p>
    <w:p w14:paraId="388D2206" w14:textId="77777777" w:rsidR="006A2C5A" w:rsidRDefault="00000000">
      <w:r>
        <w:br w:type="page"/>
      </w:r>
    </w:p>
    <w:p w14:paraId="195F032B" w14:textId="77777777" w:rsidR="006A2C5A" w:rsidRDefault="00000000">
      <w:pPr>
        <w:pStyle w:val="1"/>
        <w:spacing w:line="480" w:lineRule="auto"/>
      </w:pPr>
      <w:r>
        <w:lastRenderedPageBreak/>
        <w:t>Abstract</w:t>
      </w:r>
    </w:p>
    <w:p w14:paraId="6D094AEE" w14:textId="77777777" w:rsidR="006A2C5A" w:rsidRDefault="00000000">
      <w:pPr>
        <w:spacing w:after="0" w:line="480" w:lineRule="auto"/>
      </w:pPr>
      <w: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i/>
        </w:rPr>
        <w:t>N</w:t>
      </w:r>
      <w:r>
        <w:t xml:space="preserve"> = 3,384) contributed direct or β-converted Pearson correlations to the primary achievement pool, analysed with random-effects meta-analysis using Hartung-Knapp-Sidik-Jonkman adjustment on the Fisher </w:t>
      </w:r>
      <w:r>
        <w:rPr>
          <w:i/>
        </w:rPr>
        <w:t>z</w:t>
      </w:r>
      <w:r>
        <w:t xml:space="preserve"> scale. Conscientiousness was the strongest predictor (pooled </w:t>
      </w:r>
      <w:r>
        <w:rPr>
          <w:i/>
        </w:rPr>
        <w:t>r</w:t>
      </w:r>
      <w:r>
        <w:t xml:space="preserve"> = .167, 95% CI [.089, .243]; </w:t>
      </w:r>
      <w:r>
        <w:rPr>
          <w:i/>
        </w:rPr>
        <w:t>I²</w:t>
      </w:r>
      <w:r>
        <w:t xml:space="preserve"> = 65.1%), followed by Agreeableness (</w:t>
      </w:r>
      <w:r>
        <w:rPr>
          <w:i/>
        </w:rPr>
        <w:t>r</w:t>
      </w:r>
      <w:r>
        <w:t xml:space="preserve"> = .112 [−.031, .250]), Openness (</w:t>
      </w:r>
      <w:r>
        <w:rPr>
          <w:i/>
        </w:rPr>
        <w:t>r</w:t>
      </w:r>
      <w:r>
        <w:t xml:space="preserve"> = .086 [−.044, .214]), Neuroticism (</w:t>
      </w:r>
      <w:r>
        <w:rPr>
          <w:i/>
        </w:rPr>
        <w:t>r</w:t>
      </w:r>
      <w:r>
        <w:t xml:space="preserve"> = .018), and Extraversion (</w:t>
      </w:r>
      <w:r>
        <w:rPr>
          <w:i/>
        </w:rPr>
        <w:t>r</w:t>
      </w:r>
      <w:r>
        <w:t xml:space="preserve"> = .002). Two pre-registered moderator effects were highly significant: Extraversion × Region (Asian samples </w:t>
      </w:r>
      <w:r>
        <w:rPr>
          <w:i/>
        </w:rPr>
        <w:t>r</w:t>
      </w:r>
      <w:r>
        <w:t xml:space="preserve"> = −.131 vs. non-Asian </w:t>
      </w:r>
      <w:r>
        <w:rPr>
          <w:i/>
        </w:rPr>
        <w:t>r</w:t>
      </w:r>
      <w:r>
        <w:t xml:space="preserve"> = .050; </w:t>
      </w:r>
      <w:r>
        <w:rPr>
          <w:i/>
        </w:rPr>
        <w:t>Q_between</w:t>
      </w:r>
      <w:r>
        <w:t xml:space="preserve"> = 46.43, </w:t>
      </w:r>
      <w:r>
        <w:rPr>
          <w:i/>
        </w:rPr>
        <w:t>p</w:t>
      </w:r>
      <w:r>
        <w:t xml:space="preserve"> &lt; .001) and Extraversion × Outcome Type (objective </w:t>
      </w:r>
      <w:r>
        <w:rPr>
          <w:i/>
        </w:rPr>
        <w:t>r</w:t>
      </w:r>
      <w:r>
        <w:t xml:space="preserve"> = −.038 vs. self-rated </w:t>
      </w:r>
      <w:r>
        <w:rPr>
          <w:i/>
        </w:rPr>
        <w:t>r</w:t>
      </w:r>
      <w:r>
        <w:t xml:space="preserve"> = .117; </w:t>
      </w:r>
      <w:r>
        <w:rPr>
          <w:i/>
        </w:rPr>
        <w:t>Q_between</w:t>
      </w:r>
      <w:r>
        <w:t xml:space="preserve"> = 17.30, </w:t>
      </w:r>
      <w:r>
        <w:rPr>
          <w:i/>
        </w:rPr>
        <w:t>p</w:t>
      </w:r>
      <w: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14:paraId="188C8326" w14:textId="77777777" w:rsidR="006A2C5A" w:rsidRDefault="006A2C5A">
      <w:pPr>
        <w:spacing w:after="0" w:line="480" w:lineRule="auto"/>
      </w:pPr>
    </w:p>
    <w:p w14:paraId="619017DA" w14:textId="77777777" w:rsidR="006A2C5A" w:rsidRDefault="00000000">
      <w:pPr>
        <w:spacing w:after="0" w:line="480" w:lineRule="auto"/>
      </w:pPr>
      <w:r>
        <w:t>Keywords: Big Five, Five-Factor Model, online learning, e-learning, MOOC, academic achievement, meta-analysis, systematic review, PRISMA</w:t>
      </w:r>
    </w:p>
    <w:p w14:paraId="6FEFF83C" w14:textId="77777777" w:rsidR="006A2C5A" w:rsidRDefault="00000000">
      <w:pPr>
        <w:pStyle w:val="1"/>
        <w:spacing w:line="480" w:lineRule="auto"/>
      </w:pPr>
      <w:r>
        <w:t>Introduction</w:t>
      </w:r>
    </w:p>
    <w:p w14:paraId="6413012B" w14:textId="77777777" w:rsidR="006A2C5A" w:rsidRDefault="00000000">
      <w:pPr>
        <w:spacing w:after="0" w:line="480" w:lineRule="auto"/>
        <w:ind w:firstLine="720"/>
      </w:pPr>
      <w: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14:paraId="4820B3B3" w14:textId="77777777" w:rsidR="006A2C5A" w:rsidRDefault="00000000">
      <w:pPr>
        <w:pStyle w:val="21"/>
        <w:spacing w:line="480" w:lineRule="auto"/>
      </w:pPr>
      <w:r>
        <w:t>Personality and Academic Achievement in Face-to-Face Contexts</w:t>
      </w:r>
    </w:p>
    <w:p w14:paraId="299AB524" w14:textId="77777777" w:rsidR="006A2C5A" w:rsidRDefault="00000000">
      <w:pPr>
        <w:spacing w:after="0" w:line="480" w:lineRule="auto"/>
        <w:ind w:firstLine="720"/>
      </w:pPr>
      <w: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i/>
        </w:rPr>
        <w:t>ρ</w:t>
      </w:r>
      <w:r>
        <w:t xml:space="preserve"> = .22 between </w:t>
      </w:r>
      <w:r>
        <w:lastRenderedPageBreak/>
        <w:t>Conscientiousness and academic performance, with smaller but significant effects for Openness (</w:t>
      </w:r>
      <w:r>
        <w:rPr>
          <w:i/>
        </w:rPr>
        <w:t>ρ</w:t>
      </w:r>
      <w:r>
        <w:t xml:space="preserve"> = .12) and Agreeableness (</w:t>
      </w:r>
      <w:r>
        <w:rPr>
          <w:i/>
        </w:rPr>
        <w:t>ρ</w:t>
      </w:r>
      <w:r>
        <w:t xml:space="preserve"> = .07), and essentially null effects for Extraversion (</w:t>
      </w:r>
      <w:r>
        <w:rPr>
          <w:i/>
        </w:rPr>
        <w:t>ρ</w:t>
      </w:r>
      <w:r>
        <w:t xml:space="preserve"> = −.01) and Neuroticism (</w:t>
      </w:r>
      <w:r>
        <w:rPr>
          <w:i/>
        </w:rPr>
        <w:t>ρ</w:t>
      </w:r>
      <w:r>
        <w:t xml:space="preserve"> = .02). These findings were replicated and extended by McAbee and Oswald (2013; </w:t>
      </w:r>
      <w:r>
        <w:rPr>
          <w:i/>
        </w:rPr>
        <w:t>k</w:t>
      </w:r>
      <w:r>
        <w:t xml:space="preserve"> = 57, </w:t>
      </w:r>
      <w:r>
        <w:rPr>
          <w:i/>
        </w:rPr>
        <w:t>N</w:t>
      </w:r>
      <w:r>
        <w:t xml:space="preserve"> = 26,382; C </w:t>
      </w:r>
      <w:r>
        <w:rPr>
          <w:i/>
        </w:rPr>
        <w:t>ρ</w:t>
      </w:r>
      <w:r>
        <w:t xml:space="preserve"> = .26) and by Vedel (2014; </w:t>
      </w:r>
      <w:r>
        <w:rPr>
          <w:i/>
        </w:rPr>
        <w:t>k</w:t>
      </w:r>
      <w:r>
        <w:t xml:space="preserve"> = 21, </w:t>
      </w:r>
      <w:r>
        <w:rPr>
          <w:i/>
        </w:rPr>
        <w:t>N</w:t>
      </w:r>
      <w:r>
        <w:t xml:space="preserve"> = 17,717; C </w:t>
      </w:r>
      <w:r>
        <w:rPr>
          <w:i/>
        </w:rPr>
        <w:t>ρ</w:t>
      </w:r>
      <w: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i/>
        </w:rPr>
        <w:t>β</w:t>
      </w:r>
      <w:r>
        <w:t xml:space="preserve"> = .24 to .33).</w:t>
      </w:r>
    </w:p>
    <w:p w14:paraId="2F23FB20" w14:textId="77777777" w:rsidR="006A2C5A" w:rsidRDefault="00000000">
      <w:pPr>
        <w:spacing w:after="0" w:line="480" w:lineRule="auto"/>
        <w:ind w:firstLine="720"/>
      </w:pPr>
      <w:r>
        <w:t xml:space="preserve">More recent syntheses have substantially expanded the evidence base. Mammadov (2022), in the largest meta-analysis to date (267 independent samples, </w:t>
      </w:r>
      <w:r>
        <w:rPr>
          <w:i/>
        </w:rPr>
        <w:t>N</w:t>
      </w:r>
      <w:r>
        <w:t xml:space="preserve"> = 413,074), reported a corrected pooled correlation of </w:t>
      </w:r>
      <w:r>
        <w:rPr>
          <w:i/>
        </w:rPr>
        <w:t>ρ</w:t>
      </w:r>
      <w:r>
        <w:t xml:space="preserve"> = .27 for Conscientiousness and </w:t>
      </w:r>
      <w:r>
        <w:rPr>
          <w:i/>
        </w:rPr>
        <w:t>ρ</w:t>
      </w:r>
      <w:r>
        <w:t xml:space="preserve"> = .16 for Openness, and documented a striking cultural moderation effect in which Asian samples showed markedly stronger associations (C </w:t>
      </w:r>
      <w:r>
        <w:rPr>
          <w:i/>
        </w:rPr>
        <w:t>ρ</w:t>
      </w:r>
      <w:r>
        <w:t xml:space="preserve"> = .35; A </w:t>
      </w:r>
      <w:r>
        <w:rPr>
          <w:i/>
        </w:rPr>
        <w:t>ρ</w:t>
      </w:r>
      <w:r>
        <w:t xml:space="preserve"> = .23; </w:t>
      </w:r>
      <w:r>
        <w:rPr>
          <w:i/>
        </w:rPr>
        <w:t>N</w:t>
      </w:r>
      <w:r>
        <w:t xml:space="preserve"> </w:t>
      </w:r>
      <w:r>
        <w:rPr>
          <w:i/>
        </w:rPr>
        <w:t>ρ</w:t>
      </w:r>
      <w:r>
        <w:t xml:space="preserve"> = −.19). Meyer et al. (2023), focusing exclusively on K-12 samples (110 samples, </w:t>
      </w:r>
      <w:r>
        <w:rPr>
          <w:i/>
        </w:rPr>
        <w:t>N</w:t>
      </w:r>
      <w:r>
        <w:t xml:space="preserve"> = 500,218), obtained even larger estimates (C </w:t>
      </w:r>
      <w:r>
        <w:rPr>
          <w:i/>
        </w:rPr>
        <w:t>ρ</w:t>
      </w:r>
      <w:r>
        <w:t xml:space="preserve"> = .24; O </w:t>
      </w:r>
      <w:r>
        <w:rPr>
          <w:i/>
        </w:rPr>
        <w:t>ρ</w:t>
      </w:r>
      <w: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i/>
        </w:rPr>
        <w:t>ρ</w:t>
      </w:r>
      <w:r>
        <w:t xml:space="preserve"> = .28 and E </w:t>
      </w:r>
      <w:r>
        <w:rPr>
          <w:i/>
        </w:rPr>
        <w:t>ρ</w:t>
      </w:r>
      <w:r>
        <w:t xml:space="preserve"> = −.01. Most recently, Chen et al. (2025), examining 84 articles and 370 independent correlations restricted to university students with </w:t>
      </w:r>
      <w:r>
        <w:lastRenderedPageBreak/>
        <w:t xml:space="preserve">samples of at least 200 participants, reported somewhat smaller estimates (C </w:t>
      </w:r>
      <w:r>
        <w:rPr>
          <w:i/>
        </w:rPr>
        <w:t>r</w:t>
      </w:r>
      <w:r>
        <w:t xml:space="preserve"> = .206; O </w:t>
      </w:r>
      <w:r>
        <w:rPr>
          <w:i/>
        </w:rPr>
        <w:t>r</w:t>
      </w:r>
      <w:r>
        <w:t xml:space="preserve"> = .081; A </w:t>
      </w:r>
      <w:r>
        <w:rPr>
          <w:i/>
        </w:rPr>
        <w:t>r</w:t>
      </w:r>
      <w:r>
        <w:t xml:space="preserve"> = .082; E </w:t>
      </w:r>
      <w:r>
        <w:rPr>
          <w:i/>
        </w:rPr>
        <w:t>r</w:t>
      </w:r>
      <w:r>
        <w:t xml:space="preserve"> = −.009; </w:t>
      </w:r>
      <w:r>
        <w:rPr>
          <w:i/>
        </w:rPr>
        <w:t>N</w:t>
      </w:r>
      <w:r>
        <w:t xml:space="preserve"> </w:t>
      </w:r>
      <w:r>
        <w:rPr>
          <w:i/>
        </w:rPr>
        <w:t>r</w:t>
      </w:r>
      <w:r>
        <w:t xml:space="preserve"> = −.029), consistent with the idea that stricter methodological inclusion criteria attenuate apparent trait-performance relationships.</w:t>
      </w:r>
    </w:p>
    <w:p w14:paraId="1265B453" w14:textId="77777777" w:rsidR="006A2C5A" w:rsidRDefault="00000000">
      <w:pPr>
        <w:spacing w:after="0" w:line="480" w:lineRule="auto"/>
        <w:ind w:firstLine="720"/>
      </w:pPr>
      <w:r>
        <w:t>Across these eight meta-analyses, a convergent picture emerges: Conscientiousness is the dominant predictor of academic achievement (</w:t>
      </w:r>
      <w:r>
        <w:rPr>
          <w:i/>
        </w:rPr>
        <w:t>ρ</w:t>
      </w:r>
      <w:r>
        <w:t xml:space="preserve"> = .19 to .28), with Openness serving as a reliable secondary predictor (</w:t>
      </w:r>
      <w:r>
        <w:rPr>
          <w:i/>
        </w:rPr>
        <w:t>ρ</w:t>
      </w:r>
      <w:r>
        <w:t xml:space="preserve"> = .07 to .21). Agreeableness exhibits small positive effects (</w:t>
      </w:r>
      <w:r>
        <w:rPr>
          <w:i/>
        </w:rPr>
        <w:t>ρ</w:t>
      </w:r>
      <w: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14:paraId="62C38262" w14:textId="77777777" w:rsidR="006A2C5A" w:rsidRDefault="00000000">
      <w:pPr>
        <w:pStyle w:val="21"/>
        <w:spacing w:line="480" w:lineRule="auto"/>
      </w:pPr>
      <w:r>
        <w:t>The Shift to Online Learning Environments</w:t>
      </w:r>
    </w:p>
    <w:p w14:paraId="016DC638" w14:textId="77777777" w:rsidR="006A2C5A" w:rsidRDefault="00000000">
      <w:pPr>
        <w:spacing w:after="0" w:line="480" w:lineRule="auto"/>
        <w:ind w:firstLine="720"/>
      </w:pPr>
      <w:r>
        <w:t xml:space="preserve">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w:t>
      </w:r>
      <w:r>
        <w:lastRenderedPageBreak/>
        <w:t>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14:paraId="6B59F2EF" w14:textId="77777777" w:rsidR="006A2C5A" w:rsidRDefault="00000000">
      <w:pPr>
        <w:spacing w:after="0" w:line="480" w:lineRule="auto"/>
        <w:ind w:firstLine="720"/>
      </w:pPr>
      <w: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i/>
        </w:rPr>
        <w:t>ρ</w:t>
      </w:r>
      <w: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14:paraId="74C9BB8D" w14:textId="77777777" w:rsidR="006A2C5A" w:rsidRDefault="00000000">
      <w:pPr>
        <w:pStyle w:val="21"/>
        <w:spacing w:line="480" w:lineRule="auto"/>
      </w:pPr>
      <w:r>
        <w:lastRenderedPageBreak/>
        <w:t>Big Five Personality Traits in Online Learning: Fragmented Evidence</w:t>
      </w:r>
    </w:p>
    <w:p w14:paraId="7A2CF7D8" w14:textId="77777777" w:rsidR="006A2C5A" w:rsidRDefault="00000000">
      <w:pPr>
        <w:spacing w:after="0" w:line="480" w:lineRule="auto"/>
        <w:ind w:firstLine="720"/>
      </w:pPr>
      <w: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14:paraId="2A2D21C4" w14:textId="77777777" w:rsidR="006A2C5A" w:rsidRDefault="00000000">
      <w:pPr>
        <w:spacing w:after="0" w:line="480" w:lineRule="auto"/>
        <w:ind w:firstLine="720"/>
      </w:pPr>
      <w:r>
        <w:t>Examining the primary literature directly reveals considerable heterogeneity in reported effect sizes. In fully online asynchronous contexts, Abe (2020) reported strong correlations between Conscientiousness and both quiz performance (</w:t>
      </w:r>
      <w:r>
        <w:rPr>
          <w:i/>
        </w:rPr>
        <w:t>r</w:t>
      </w:r>
      <w:r>
        <w:t xml:space="preserve"> = .48) and paper grades (</w:t>
      </w:r>
      <w:r>
        <w:rPr>
          <w:i/>
        </w:rPr>
        <w:t>r</w:t>
      </w:r>
      <w:r>
        <w:t xml:space="preserve"> = .37), with Openness also predicting paper grades (</w:t>
      </w:r>
      <w:r>
        <w:rPr>
          <w:i/>
        </w:rPr>
        <w:t>r</w:t>
      </w:r>
      <w:r>
        <w:t xml:space="preserve"> = .35). Alkış and Taşkaya Temizel (2018), comparing online and blended sections of the same course, found Conscientiousness to predict course grades in both modalities (online </w:t>
      </w:r>
      <w:r>
        <w:rPr>
          <w:i/>
        </w:rPr>
        <w:t>r</w:t>
      </w:r>
      <w:r>
        <w:t xml:space="preserve"> = .205; blended </w:t>
      </w:r>
      <w:r>
        <w:rPr>
          <w:i/>
        </w:rPr>
        <w:t>r</w:t>
      </w:r>
      <w:r>
        <w:t xml:space="preserve"> = .244), with other traits exhibiting only null effects. In the COVID-era German higher education context, Rodrigues et al. (2024) reported a moderate negative correlation between Conscientiousness and self-reported GPA (</w:t>
      </w:r>
      <w:r>
        <w:rPr>
          <w:i/>
        </w:rPr>
        <w:t>r</w:t>
      </w:r>
      <w: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i/>
        </w:rPr>
        <w:t>N</w:t>
      </w:r>
      <w:r>
        <w:t xml:space="preserve"> = 149), reported a direct </w:t>
      </w:r>
      <w:r>
        <w:lastRenderedPageBreak/>
        <w:t>negative effect of Extraversion on course achievement (</w:t>
      </w:r>
      <w:r>
        <w:rPr>
          <w:i/>
        </w:rPr>
        <w:t>β</w:t>
      </w:r>
      <w:r>
        <w:t xml:space="preserve"> = −.168, </w:t>
      </w:r>
      <w:r>
        <w:rPr>
          <w:i/>
        </w:rPr>
        <w:t>p</w:t>
      </w:r>
      <w:r>
        <w:t xml:space="preserve"> &lt; .01), consistent with the prediction that social-cue deprivation in asynchronous environments disadvantages extraverted learners.</w:t>
      </w:r>
    </w:p>
    <w:p w14:paraId="20751F44" w14:textId="77777777" w:rsidR="006A2C5A" w:rsidRDefault="00000000">
      <w:pPr>
        <w:spacing w:after="0" w:line="480" w:lineRule="auto"/>
        <w:ind w:firstLine="720"/>
      </w:pPr>
      <w:r>
        <w:t xml:space="preserve">Other primary studies reveal patterns that diverge from conventional face-to-face findings. In a large Chinese K-12 sample studied by Wang, Wang, and Li (2023; </w:t>
      </w:r>
      <w:r>
        <w:rPr>
          <w:i/>
        </w:rPr>
        <w:t>N</w:t>
      </w:r>
      <w:r>
        <w:t xml:space="preserve"> = 1,625), Big Five traits were associated with academic achievement only indirectly through online learning engagement, with Conscientiousness (</w:t>
      </w:r>
      <w:r>
        <w:rPr>
          <w:i/>
        </w:rPr>
        <w:t>β</w:t>
      </w:r>
      <w:r>
        <w:t xml:space="preserve"> = .322) and Openness (</w:t>
      </w:r>
      <w:r>
        <w:rPr>
          <w:i/>
        </w:rPr>
        <w:t>β</w:t>
      </w:r>
      <w:r>
        <w:t xml:space="preserve"> = .253) serving as the strongest predictors of engagement. Yu (2021), in a Chinese MOOC platform sample (</w:t>
      </w:r>
      <w:r>
        <w:rPr>
          <w:i/>
        </w:rPr>
        <w:t>N</w:t>
      </w:r>
      <w:r>
        <w:t xml:space="preserve"> = 1,152), reported that Agreeableness (</w:t>
      </w:r>
      <w:r>
        <w:rPr>
          <w:i/>
        </w:rPr>
        <w:t>β</w:t>
      </w:r>
      <w:r>
        <w:t xml:space="preserve"> = .442) and Openness (</w:t>
      </w:r>
      <w:r>
        <w:rPr>
          <w:i/>
        </w:rPr>
        <w:t>β</w:t>
      </w:r>
      <w:r>
        <w:t xml:space="preserve"> = .305) were stronger predictors of objective MOOC composite scores than Conscientiousness (</w:t>
      </w:r>
      <w:r>
        <w:rPr>
          <w:i/>
        </w:rPr>
        <w:t>β</w:t>
      </w:r>
      <w:r>
        <w:t xml:space="preserve"> = .057), suggesting that cooperative behaviors and novelty orientation may be especially salient in Chinese collectivistic contexts (cf. Mammadov, 2022; Chen et al., 2025). Bahçekapılı and Karaman (2020), in a Turkish distance-education context (</w:t>
      </w:r>
      <w:r>
        <w:rPr>
          <w:i/>
        </w:rPr>
        <w:t>N</w:t>
      </w:r>
      <w:r>
        <w:t xml:space="preserve"> = 525), found that all five Big Five traits exhibited non-significant direct correlations with GPA, with their effects fully mediated through self-efficacy and external locus of control.</w:t>
      </w:r>
    </w:p>
    <w:p w14:paraId="483D3CFC" w14:textId="77777777" w:rsidR="006A2C5A" w:rsidRDefault="00000000">
      <w:pPr>
        <w:spacing w:after="0" w:line="480" w:lineRule="auto"/>
        <w:ind w:firstLine="720"/>
      </w:pPr>
      <w:r>
        <w:t xml:space="preserve">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w:t>
      </w:r>
      <w:r>
        <w:lastRenderedPageBreak/>
        <w:t>LMS behavior, composite scores), and era (pre-COVID, COVID, post-COVID). Without a quantitative synthesis, it is not possible to determine whether these apparent heterogeneities reflect true moderator effects, sampling noise, or methodological artifacts.</w:t>
      </w:r>
    </w:p>
    <w:p w14:paraId="70595BBF" w14:textId="77777777" w:rsidR="006A2C5A" w:rsidRDefault="00000000">
      <w:pPr>
        <w:pStyle w:val="21"/>
        <w:spacing w:line="480" w:lineRule="auto"/>
      </w:pPr>
      <w:r>
        <w:t>Potential Moderators of the Personality-Achievement Association in Online Contexts</w:t>
      </w:r>
    </w:p>
    <w:p w14:paraId="2F21A42D" w14:textId="77777777" w:rsidR="006A2C5A" w:rsidRDefault="00000000">
      <w:pPr>
        <w:spacing w:after="0" w:line="480" w:lineRule="auto"/>
        <w:ind w:firstLine="720"/>
      </w:pPr>
      <w:r>
        <w:t xml:space="preserve">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w:t>
      </w:r>
      <w:r>
        <w:lastRenderedPageBreak/>
        <w:t>smaller effects; this moderator is particularly relevant for the present review because online studies more frequently use short-form instruments than traditional paper-and-pencil contexts.</w:t>
      </w:r>
    </w:p>
    <w:p w14:paraId="38A41A81" w14:textId="77777777" w:rsidR="006A2C5A" w:rsidRDefault="00000000">
      <w:pPr>
        <w:pStyle w:val="21"/>
        <w:spacing w:line="480" w:lineRule="auto"/>
      </w:pPr>
      <w:r>
        <w:t>The Present Study</w:t>
      </w:r>
    </w:p>
    <w:p w14:paraId="0A999DA2" w14:textId="77777777" w:rsidR="006A2C5A" w:rsidRDefault="00000000">
      <w:pPr>
        <w:spacing w:after="0" w:line="480" w:lineRule="auto"/>
        <w:ind w:firstLine="720"/>
      </w:pPr>
      <w: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14:paraId="4241105D" w14:textId="77777777" w:rsidR="006A2C5A" w:rsidRDefault="00000000">
      <w:pPr>
        <w:spacing w:after="0" w:line="480" w:lineRule="auto"/>
        <w:ind w:firstLine="720"/>
      </w:pPr>
      <w: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i/>
        </w:rPr>
        <w:t>ρ</w:t>
      </w:r>
      <w: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w:t>
      </w:r>
      <w:r>
        <w:lastRenderedPageBreak/>
        <w:t>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14:paraId="551DA8AF" w14:textId="77777777" w:rsidR="006A2C5A" w:rsidRDefault="00000000">
      <w:pPr>
        <w:spacing w:after="0" w:line="480" w:lineRule="auto"/>
        <w:ind w:firstLine="720"/>
      </w:pPr>
      <w: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14:paraId="6DDD26CD" w14:textId="77777777" w:rsidR="006A2C5A" w:rsidRDefault="00000000">
      <w:pPr>
        <w:pStyle w:val="1"/>
        <w:spacing w:line="480" w:lineRule="auto"/>
      </w:pPr>
      <w:r>
        <w:t>Methods</w:t>
      </w:r>
    </w:p>
    <w:p w14:paraId="58266F85" w14:textId="77777777" w:rsidR="006A2C5A" w:rsidRDefault="00000000">
      <w:pPr>
        <w:pStyle w:val="21"/>
        <w:spacing w:line="480" w:lineRule="auto"/>
      </w:pPr>
      <w:r>
        <w:t>Pre-registration and Reporting Standards</w:t>
      </w:r>
    </w:p>
    <w:p w14:paraId="559134A1" w14:textId="77777777" w:rsidR="006A2C5A" w:rsidRDefault="00000000">
      <w:pPr>
        <w:spacing w:after="0" w:line="480" w:lineRule="auto"/>
        <w:ind w:firstLine="720"/>
      </w:pPr>
      <w:r>
        <w:t xml:space="preserve">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w:t>
      </w:r>
      <w:r>
        <w:lastRenderedPageBreak/>
        <w:t>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14:paraId="3E9CF33C" w14:textId="77777777" w:rsidR="006A2C5A" w:rsidRDefault="00000000">
      <w:pPr>
        <w:pStyle w:val="21"/>
        <w:spacing w:line="480" w:lineRule="auto"/>
      </w:pPr>
      <w:r>
        <w:t>Eligibility Criteria</w:t>
      </w:r>
    </w:p>
    <w:p w14:paraId="262C0A1C" w14:textId="77777777" w:rsidR="006A2C5A" w:rsidRDefault="00000000">
      <w:pPr>
        <w:spacing w:after="0" w:line="480" w:lineRule="auto"/>
        <w:ind w:firstLine="720"/>
      </w:pPr>
      <w:r>
        <w:t xml:space="preserve">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w:t>
      </w:r>
      <w:r>
        <w:lastRenderedPageBreak/>
        <w:t>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14:paraId="028C8853" w14:textId="77777777" w:rsidR="006A2C5A" w:rsidRDefault="00000000">
      <w:pPr>
        <w:spacing w:after="0" w:line="480" w:lineRule="auto"/>
        <w:ind w:firstLine="720"/>
      </w:pPr>
      <w: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14:paraId="64569BD0" w14:textId="77777777" w:rsidR="006A2C5A" w:rsidRDefault="00000000">
      <w:pPr>
        <w:pStyle w:val="21"/>
        <w:spacing w:line="480" w:lineRule="auto"/>
      </w:pPr>
      <w:r>
        <w:t>Information Sources and Search Strategy</w:t>
      </w:r>
    </w:p>
    <w:p w14:paraId="69A4553A" w14:textId="77777777" w:rsidR="006A2C5A" w:rsidRDefault="00000000">
      <w:pPr>
        <w:spacing w:after="0" w:line="480" w:lineRule="auto"/>
        <w:ind w:firstLine="720"/>
      </w:pPr>
      <w:r>
        <w:t xml:space="preserve">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w:t>
      </w:r>
      <w:r>
        <w:lastRenderedPageBreak/>
        <w:t>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14:paraId="60667AAB" w14:textId="77777777" w:rsidR="006A2C5A" w:rsidRDefault="00000000">
      <w:pPr>
        <w:spacing w:after="0" w:line="480" w:lineRule="auto"/>
        <w:ind w:firstLine="720"/>
      </w:pPr>
      <w: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14:paraId="567CE1D7" w14:textId="77777777" w:rsidR="006A2C5A" w:rsidRDefault="00000000">
      <w:pPr>
        <w:spacing w:after="0" w:line="480" w:lineRule="auto"/>
        <w:ind w:firstLine="720"/>
      </w:pPr>
      <w:r>
        <w:t xml:space="preserve">In addition to the database searches, forward citation tracking (cited-by) and backward citation tracking (reference list scanning) were performed for all studies identified as eligible, </w:t>
      </w:r>
      <w:r>
        <w:lastRenderedPageBreak/>
        <w:t>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14:paraId="0FF0C847" w14:textId="77777777" w:rsidR="006A2C5A" w:rsidRDefault="00000000">
      <w:pPr>
        <w:pStyle w:val="21"/>
        <w:spacing w:line="480" w:lineRule="auto"/>
      </w:pPr>
      <w:r>
        <w:t>Study Selection</w:t>
      </w:r>
    </w:p>
    <w:p w14:paraId="23401719" w14:textId="77777777" w:rsidR="006A2C5A" w:rsidRDefault="00000000">
      <w:pPr>
        <w:spacing w:after="0" w:line="480" w:lineRule="auto"/>
        <w:ind w:firstLine="720"/>
      </w:pPr>
      <w: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14:paraId="6CC2E29C" w14:textId="77777777" w:rsidR="006A2C5A" w:rsidRDefault="00000000">
      <w:pPr>
        <w:pStyle w:val="21"/>
        <w:spacing w:line="480" w:lineRule="auto"/>
      </w:pPr>
      <w:r>
        <w:t>Data Extraction</w:t>
      </w:r>
    </w:p>
    <w:p w14:paraId="0B7C7449" w14:textId="77777777" w:rsidR="006A2C5A" w:rsidRDefault="00000000">
      <w:pPr>
        <w:spacing w:after="0" w:line="480" w:lineRule="auto"/>
        <w:ind w:firstLine="720"/>
      </w:pPr>
      <w:r>
        <w:t xml:space="preserve">A pre-specified data extraction form was developed prior to registration and is available on the OSF project (data_extraction.csv; data_extraction_README.md). Extracted fields included study identification (author, year, DOI, journal, country of data collection), sample </w:t>
      </w:r>
      <w:r>
        <w:lastRenderedPageBreak/>
        <w:t xml:space="preserve">characteristics (analytic </w:t>
      </w:r>
      <w:r>
        <w:rPr>
          <w:i/>
        </w:rPr>
        <w:t>N</w:t>
      </w:r>
      <w:r>
        <w:t xml:space="preserve">, age mean and </w:t>
      </w:r>
      <w:r>
        <w:rPr>
          <w:i/>
        </w:rPr>
        <w:t>SD</w:t>
      </w:r>
      <w: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i/>
        </w:rPr>
        <w:t>r</w:t>
      </w:r>
      <w:r>
        <w:t xml:space="preserve">, standardized </w:t>
      </w:r>
      <w:r>
        <w:rPr>
          <w:i/>
        </w:rPr>
        <w:t>β</w:t>
      </w:r>
      <w:r>
        <w:t xml:space="preserve">, Cohen's d, η², </w:t>
      </w:r>
      <w:r>
        <w:rPr>
          <w:i/>
        </w:rPr>
        <w:t>t</w:t>
      </w:r>
      <w:r>
        <w:t xml:space="preserve">, or </w:t>
      </w:r>
      <w:r>
        <w:rPr>
          <w:i/>
        </w:rPr>
        <w:t>F</w:t>
      </w:r>
      <w: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14:paraId="4085C081" w14:textId="77777777" w:rsidR="006A2C5A" w:rsidRDefault="00000000">
      <w:pPr>
        <w:pStyle w:val="21"/>
        <w:spacing w:line="480" w:lineRule="auto"/>
      </w:pPr>
      <w:r>
        <w:t>Risk of Bias Assessment</w:t>
      </w:r>
    </w:p>
    <w:p w14:paraId="6636E03D" w14:textId="77777777" w:rsidR="006A2C5A" w:rsidRDefault="00000000">
      <w:pPr>
        <w:spacing w:after="0" w:line="480" w:lineRule="auto"/>
        <w:ind w:firstLine="720"/>
      </w:pPr>
      <w: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w:t>
      </w:r>
      <w:r>
        <w:lastRenderedPageBreak/>
        <w:t>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14:paraId="62457A05" w14:textId="77777777" w:rsidR="006A2C5A" w:rsidRDefault="00000000">
      <w:pPr>
        <w:pStyle w:val="21"/>
        <w:spacing w:line="480" w:lineRule="auto"/>
      </w:pPr>
      <w:r>
        <w:t>Effect Size Metric and Transformations</w:t>
      </w:r>
    </w:p>
    <w:p w14:paraId="1E67074E" w14:textId="77777777" w:rsidR="006A2C5A" w:rsidRDefault="00000000">
      <w:pPr>
        <w:spacing w:after="0" w:line="480" w:lineRule="auto"/>
        <w:ind w:firstLine="720"/>
      </w:pPr>
      <w:r>
        <w:t>The primary effect-size metric was the Pearson product-moment correlation coefficient (</w:t>
      </w:r>
      <w:r>
        <w:rPr>
          <w:i/>
        </w:rPr>
        <w:t>r</w:t>
      </w:r>
      <w:r>
        <w:t xml:space="preserve">) between each Big Five trait score and the academic achievement outcome. Prior to pooling, every extracted </w:t>
      </w:r>
      <w:r>
        <w:rPr>
          <w:i/>
        </w:rPr>
        <w:t>r</w:t>
      </w:r>
      <w:r>
        <w:t xml:space="preserve"> was transformed to Fisher's </w:t>
      </w:r>
      <w:r>
        <w:rPr>
          <w:i/>
        </w:rPr>
        <w:t>z</w:t>
      </w:r>
      <w:r>
        <w:t xml:space="preserve"> (Borenstein et al., 2009) using the formula </w:t>
      </w:r>
      <w:r>
        <w:rPr>
          <w:i/>
        </w:rPr>
        <w:t>z</w:t>
      </w:r>
      <w:r>
        <w:t xml:space="preserve"> = 0.5 × ln[(1 + </w:t>
      </w:r>
      <w:r>
        <w:rPr>
          <w:i/>
        </w:rPr>
        <w:t>r</w:t>
      </w:r>
      <w:r>
        <w:t xml:space="preserve">) / (1 − </w:t>
      </w:r>
      <w:r>
        <w:rPr>
          <w:i/>
        </w:rPr>
        <w:t>r</w:t>
      </w:r>
      <w:r>
        <w:t>)], with sampling variance Var(</w:t>
      </w:r>
      <w:r>
        <w:rPr>
          <w:i/>
        </w:rPr>
        <w:t>z</w:t>
      </w:r>
      <w:r>
        <w:t>) = 1 / (</w:t>
      </w:r>
      <w:r>
        <w:rPr>
          <w:i/>
        </w:rPr>
        <w:t>N</w:t>
      </w:r>
      <w:r>
        <w:t xml:space="preserve"> − 3), where </w:t>
      </w:r>
      <w:r>
        <w:rPr>
          <w:i/>
        </w:rPr>
        <w:t>N</w:t>
      </w:r>
      <w:r>
        <w:t xml:space="preserve"> is the analytic sample size for that effect size. Pooled z-values were back-transformed to </w:t>
      </w:r>
      <w:r>
        <w:rPr>
          <w:i/>
        </w:rPr>
        <w:t>r</w:t>
      </w:r>
      <w:r>
        <w:t xml:space="preserve"> for reporting, using </w:t>
      </w:r>
      <w:r>
        <w:rPr>
          <w:i/>
        </w:rPr>
        <w:t>r</w:t>
      </w:r>
      <w:r>
        <w:t xml:space="preserve"> = [exp(2z) − 1] / [exp(2z) + 1]. All pooling, moderator regression, and confidence-interval construction were performed on the Fisher </w:t>
      </w:r>
      <w:r>
        <w:rPr>
          <w:i/>
        </w:rPr>
        <w:t>z</w:t>
      </w:r>
      <w:r>
        <w:t xml:space="preserve"> scale, whereas point estimates and credibility intervals were reported on the </w:t>
      </w:r>
      <w:r>
        <w:rPr>
          <w:i/>
        </w:rPr>
        <w:t>r</w:t>
      </w:r>
      <w:r>
        <w:t xml:space="preserve"> scale for interpretability.</w:t>
      </w:r>
    </w:p>
    <w:p w14:paraId="71900DFB" w14:textId="77777777" w:rsidR="006A2C5A" w:rsidRDefault="00000000">
      <w:pPr>
        <w:spacing w:after="0" w:line="480" w:lineRule="auto"/>
        <w:ind w:firstLine="720"/>
      </w:pPr>
      <w:r>
        <w:t xml:space="preserve">When a primary study reported an effect-size statistic other than Pearson </w:t>
      </w:r>
      <w:r>
        <w:rPr>
          <w:i/>
        </w:rPr>
        <w:t>r</w:t>
      </w:r>
      <w:r>
        <w:t xml:space="preserve">, the statistic was converted to </w:t>
      </w:r>
      <w:r>
        <w:rPr>
          <w:i/>
        </w:rPr>
        <w:t>r</w:t>
      </w:r>
      <w:r>
        <w:t xml:space="preserve"> using pre-specified rules, and every converted effect size was flagged for a pre-specified sensitivity analysis in which pooled estimates were recomputed with and without converted effect sizes. Standardized regression coefficients (</w:t>
      </w:r>
      <w:r>
        <w:rPr>
          <w:i/>
        </w:rPr>
        <w:t>β</w:t>
      </w:r>
      <w:r>
        <w:t xml:space="preserve">) were converted using the approximation of Peterson and Brown (2005), </w:t>
      </w:r>
      <w:r>
        <w:rPr>
          <w:i/>
        </w:rPr>
        <w:t>r</w:t>
      </w:r>
      <w:r>
        <w:t xml:space="preserve"> ≈ </w:t>
      </w:r>
      <w:r>
        <w:rPr>
          <w:i/>
        </w:rPr>
        <w:t>β</w:t>
      </w:r>
      <w:r>
        <w:t xml:space="preserve"> + 0.05λ, where λ = 1 if </w:t>
      </w:r>
      <w:r>
        <w:rPr>
          <w:i/>
        </w:rPr>
        <w:t>β</w:t>
      </w:r>
      <w:r>
        <w:t xml:space="preserve"> ≥ 0 and 0 otherwise; conversions from </w:t>
      </w:r>
      <w:r>
        <w:rPr>
          <w:i/>
        </w:rPr>
        <w:t>β</w:t>
      </w:r>
      <w:r>
        <w:t xml:space="preserve"> were applied only when the source model contained at most two predictors, and β-only reports from larger models were excluded. Cohen's d values were converted to </w:t>
      </w:r>
      <w:r>
        <w:rPr>
          <w:i/>
        </w:rPr>
        <w:t>r</w:t>
      </w:r>
      <w:r>
        <w:t xml:space="preserve"> as </w:t>
      </w:r>
      <w:r>
        <w:rPr>
          <w:i/>
        </w:rPr>
        <w:t>r</w:t>
      </w:r>
      <w:r>
        <w:t xml:space="preserve"> = d / √(d² + 4) for equal-group comparisons, adjusted for unequal group sizes as </w:t>
      </w:r>
      <w:r>
        <w:rPr>
          <w:i/>
        </w:rPr>
        <w:t>r</w:t>
      </w:r>
      <w:r>
        <w:t xml:space="preserve"> = d / √(d² + (n₁ + n₂)² / (n₁ × n₂)). Eta-squared (η²) values from single-predictor models were converted as </w:t>
      </w:r>
      <w:r>
        <w:rPr>
          <w:i/>
        </w:rPr>
        <w:t>r</w:t>
      </w:r>
      <w:r>
        <w:t xml:space="preserve"> = √η², with sign assigned based on the reported direction of association. </w:t>
      </w:r>
      <w:r>
        <w:rPr>
          <w:i/>
        </w:rPr>
        <w:t>F</w:t>
      </w:r>
      <w:r>
        <w:t xml:space="preserve"> and </w:t>
      </w:r>
      <w:r>
        <w:rPr>
          <w:i/>
        </w:rPr>
        <w:t>t</w:t>
      </w:r>
      <w:r>
        <w:t xml:space="preserve"> statistics were converted using </w:t>
      </w:r>
      <w:r>
        <w:rPr>
          <w:i/>
        </w:rPr>
        <w:t>r</w:t>
      </w:r>
      <w:r>
        <w:t xml:space="preserve"> = √(</w:t>
      </w:r>
      <w:r>
        <w:rPr>
          <w:i/>
        </w:rPr>
        <w:t>F</w:t>
      </w:r>
      <w:r>
        <w:t xml:space="preserve"> / (</w:t>
      </w:r>
      <w:r>
        <w:rPr>
          <w:i/>
        </w:rPr>
        <w:t>F</w:t>
      </w:r>
      <w:r>
        <w:t xml:space="preserve"> + df_error)) and </w:t>
      </w:r>
      <w:r>
        <w:rPr>
          <w:i/>
        </w:rPr>
        <w:t>r</w:t>
      </w:r>
      <w:r>
        <w:t xml:space="preserve"> = √(t² / (t² + </w:t>
      </w:r>
      <w:r>
        <w:rPr>
          <w:i/>
        </w:rPr>
        <w:t>df</w:t>
      </w:r>
      <w:r>
        <w:t>)), respectively.</w:t>
      </w:r>
    </w:p>
    <w:p w14:paraId="3E753D6F" w14:textId="77777777" w:rsidR="006A2C5A" w:rsidRDefault="00000000">
      <w:pPr>
        <w:spacing w:after="0" w:line="480" w:lineRule="auto"/>
        <w:ind w:firstLine="720"/>
      </w:pPr>
      <w:r>
        <w:lastRenderedPageBreak/>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14:paraId="32C2B0DA" w14:textId="77777777" w:rsidR="006A2C5A" w:rsidRDefault="00000000">
      <w:pPr>
        <w:pStyle w:val="21"/>
        <w:spacing w:line="480" w:lineRule="auto"/>
      </w:pPr>
      <w:r>
        <w:t>Statistical Analysis and Synthesis Strategy</w:t>
      </w:r>
    </w:p>
    <w:p w14:paraId="720779C1" w14:textId="77777777" w:rsidR="006A2C5A" w:rsidRDefault="00000000">
      <w:pPr>
        <w:spacing w:after="0" w:line="480" w:lineRule="auto"/>
        <w:ind w:firstLine="720"/>
      </w:pPr>
      <w:r>
        <w:t>Five primary meta-analytic models were estimated, one for each Big Five trait (Conscientiousness, Openness, Extraversion, Agreeableness, Neuroticism) paired with academic achievement. Each model was a random-effects meta-analysis with between-study variance (</w:t>
      </w:r>
      <w:r>
        <w:rPr>
          <w:i/>
        </w:rPr>
        <w:t>τ²</w:t>
      </w:r>
      <w: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i/>
        </w:rPr>
        <w:t>Q</w:t>
      </w:r>
      <w:r>
        <w:t xml:space="preserve">, the </w:t>
      </w:r>
      <w:r>
        <w:rPr>
          <w:i/>
        </w:rPr>
        <w:t>I²</w:t>
      </w:r>
      <w:r>
        <w:t xml:space="preserve"> statistic, </w:t>
      </w:r>
      <w:r>
        <w:rPr>
          <w:i/>
        </w:rPr>
        <w:t>τ²</w:t>
      </w:r>
      <w:r>
        <w:t xml:space="preserve"> and </w:t>
      </w:r>
      <w:r>
        <w:rPr>
          <w:i/>
        </w:rPr>
        <w:t>τ</w:t>
      </w:r>
      <w:r>
        <w:t xml:space="preserve">, and 95% prediction intervals. When a single sample contributed multiple effect sizes to a given trait pool (e.g., across </w:t>
      </w:r>
      <w:r>
        <w:lastRenderedPageBreak/>
        <w:t>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14:paraId="23D6C3CC" w14:textId="77777777" w:rsidR="006A2C5A" w:rsidRDefault="00000000">
      <w:pPr>
        <w:spacing w:after="0" w:line="480" w:lineRule="auto"/>
        <w:ind w:firstLine="720"/>
      </w:pPr>
      <w:r>
        <w:t xml:space="preserve">All primary pooling was conducted on the Fisher </w:t>
      </w:r>
      <w:r>
        <w:rPr>
          <w:i/>
        </w:rPr>
        <w:t>z</w:t>
      </w:r>
      <w:r>
        <w:t xml:space="preserve"> scale, and pooled </w:t>
      </w:r>
      <w:r>
        <w:rPr>
          <w:i/>
        </w:rPr>
        <w:t>z</w:t>
      </w:r>
      <w:r>
        <w:t xml:space="preserve"> values were back-transformed to </w:t>
      </w:r>
      <w:r>
        <w:rPr>
          <w:i/>
        </w:rPr>
        <w:t>r</w:t>
      </w:r>
      <w:r>
        <w:t xml:space="preserve"> for reporting. Inference criteria were two-tailed, with α = .05 for pooled effect significance tests, α = .10 for Cochran's </w:t>
      </w:r>
      <w:r>
        <w:rPr>
          <w:i/>
        </w:rPr>
        <w:t>Q</w:t>
      </w:r>
      <w:r>
        <w:t xml:space="preserve"> (per convention), and α = .05 for moderator </w:t>
      </w:r>
      <w:r>
        <w:rPr>
          <w:i/>
        </w:rPr>
        <w:t>QM</w:t>
      </w:r>
      <w:r>
        <w:t xml:space="preserve"> tests. Effect-size magnitudes were interpreted against the benchmarks proposed by Gignac and Szodorai (2016) for correlational meta-analyses, with </w:t>
      </w:r>
      <w:r>
        <w:rPr>
          <w:i/>
        </w:rPr>
        <w:t>r</w:t>
      </w:r>
      <w:r>
        <w:t xml:space="preserve"> ≈ .10 small, </w:t>
      </w:r>
      <w:r>
        <w:rPr>
          <w:i/>
        </w:rPr>
        <w:t>r</w:t>
      </w:r>
      <w:r>
        <w:t xml:space="preserve"> ≈ .20 moderate, and </w:t>
      </w:r>
      <w:r>
        <w:rPr>
          <w:i/>
        </w:rPr>
        <w:t>r</w:t>
      </w:r>
      <w:r>
        <w:t xml:space="preserve"> ≈ .30 large. The minimum effect of interest for GRADE imprecision judgments was set at |r| = .10.</w:t>
      </w:r>
    </w:p>
    <w:p w14:paraId="01222522" w14:textId="77777777" w:rsidR="006A2C5A" w:rsidRDefault="00000000">
      <w:pPr>
        <w:pStyle w:val="21"/>
        <w:spacing w:line="480" w:lineRule="auto"/>
      </w:pPr>
      <w:r>
        <w:t>Moderator and Sensitivity Analyses</w:t>
      </w:r>
    </w:p>
    <w:p w14:paraId="15F7296C" w14:textId="77777777" w:rsidR="006A2C5A" w:rsidRDefault="00000000">
      <w:pPr>
        <w:spacing w:after="0" w:line="480" w:lineRule="auto"/>
        <w:ind w:firstLine="720"/>
      </w:pPr>
      <w: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i/>
        </w:rPr>
        <w:t>QM</w:t>
      </w:r>
      <w:r>
        <w:t xml:space="preserve"> test. The </w:t>
      </w:r>
      <w:r>
        <w:rPr>
          <w:i/>
        </w:rPr>
        <w:t>R²</w:t>
      </w:r>
      <w: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t>
      </w:r>
      <w:r>
        <w:lastRenderedPageBreak/>
        <w:t xml:space="preserve">were reported. Given that </w:t>
      </w:r>
      <w:r>
        <w:rPr>
          <w:i/>
        </w:rPr>
        <w:t>k</w:t>
      </w:r>
      <w:r>
        <w:t xml:space="preserve"> ≥ 10 per predictor level was required for robust meta-regression (Borenstein et al., 2021), moderator levels with fewer than 10 contributing effect sizes were reported narratively rather than quantitatively.</w:t>
      </w:r>
    </w:p>
    <w:p w14:paraId="45FCE42F" w14:textId="77777777" w:rsidR="006A2C5A" w:rsidRDefault="00000000">
      <w:pPr>
        <w:spacing w:after="0" w:line="480" w:lineRule="auto"/>
        <w:ind w:firstLine="720"/>
      </w:pPr>
      <w: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14:paraId="11CABD26" w14:textId="77777777" w:rsidR="006A2C5A" w:rsidRDefault="00000000">
      <w:pPr>
        <w:pStyle w:val="21"/>
        <w:spacing w:line="480" w:lineRule="auto"/>
      </w:pPr>
      <w:r>
        <w:t>Publication Bias</w:t>
      </w:r>
    </w:p>
    <w:p w14:paraId="29C72356" w14:textId="77777777" w:rsidR="006A2C5A" w:rsidRDefault="00000000">
      <w:pPr>
        <w:spacing w:after="0" w:line="480" w:lineRule="auto"/>
        <w:ind w:firstLine="720"/>
      </w:pPr>
      <w: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14:paraId="57A36D7D" w14:textId="77777777" w:rsidR="006A2C5A" w:rsidRDefault="00000000">
      <w:pPr>
        <w:pStyle w:val="21"/>
        <w:spacing w:line="480" w:lineRule="auto"/>
      </w:pPr>
      <w:r>
        <w:lastRenderedPageBreak/>
        <w:t>Confidence in Cumulative Evidence (GRADE)</w:t>
      </w:r>
    </w:p>
    <w:p w14:paraId="33AC26AF" w14:textId="77777777" w:rsidR="006A2C5A" w:rsidRDefault="00000000">
      <w:pPr>
        <w:spacing w:after="0" w:line="480" w:lineRule="auto"/>
        <w:ind w:firstLine="720"/>
      </w:pPr>
      <w: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i/>
        </w:rPr>
        <w:t>I²</w:t>
      </w:r>
      <w: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i/>
        </w:rPr>
        <w:t>p</w:t>
      </w:r>
      <w: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14:paraId="6E54CBFB" w14:textId="77777777" w:rsidR="006A2C5A" w:rsidRDefault="00000000">
      <w:pPr>
        <w:pStyle w:val="21"/>
        <w:spacing w:line="480" w:lineRule="auto"/>
      </w:pPr>
      <w:r>
        <w:t>Deviations from the Pre-registered Protocol</w:t>
      </w:r>
    </w:p>
    <w:p w14:paraId="4622562B" w14:textId="77777777" w:rsidR="006A2C5A" w:rsidRDefault="00000000">
      <w:pPr>
        <w:spacing w:after="0" w:line="480" w:lineRule="auto"/>
        <w:ind w:firstLine="720"/>
      </w:pPr>
      <w: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w:t>
      </w:r>
      <w:r>
        <w:lastRenderedPageBreak/>
        <w:t>registration listed nine moderators to be tested per trait; given the smaller-than-anticipated number of eligible primary studies providing direct trait-by-achievement correlations (</w:t>
      </w:r>
      <w:r>
        <w:rPr>
          <w:i/>
        </w:rPr>
        <w:t>k</w:t>
      </w:r>
      <w: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14:paraId="2E507E5F" w14:textId="77777777" w:rsidR="006A2C5A" w:rsidRDefault="00000000">
      <w:pPr>
        <w:spacing w:after="0" w:line="480" w:lineRule="auto"/>
        <w:ind w:firstLine="720"/>
      </w:pPr>
      <w: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i/>
        </w:rPr>
        <w:t>r</w:t>
      </w:r>
      <w:r>
        <w:t xml:space="preserve"> range from .068 in Bahçekapılı &amp; Karaman, 2020 to .37 in Abe, 2020 paper-grade outcome), TIPI-J (</w:t>
      </w:r>
      <w:r>
        <w:rPr>
          <w:i/>
        </w:rPr>
        <w:t>r</w:t>
      </w:r>
      <w: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i/>
        </w:rPr>
        <w:t>N</w:t>
      </w:r>
      <w:r>
        <w:t xml:space="preserve"> = 1,152; Bahçekapılı &amp; Karaman, 2020 </w:t>
      </w:r>
      <w:r>
        <w:rPr>
          <w:i/>
        </w:rPr>
        <w:t>N</w:t>
      </w:r>
      <w:r>
        <w:t xml:space="preserve"> = 525; Kaspar et al., 2023 </w:t>
      </w:r>
      <w:r>
        <w:rPr>
          <w:i/>
        </w:rPr>
        <w:t>N</w:t>
      </w:r>
      <w:r>
        <w:t xml:space="preserve"> = 413; Quigley et al., 2022 </w:t>
      </w:r>
      <w:r>
        <w:rPr>
          <w:i/>
        </w:rPr>
        <w:t>N</w:t>
      </w:r>
      <w:r>
        <w:t xml:space="preserve"> = 301; Zheng &amp; Zheng, 2023 </w:t>
      </w:r>
      <w:r>
        <w:rPr>
          <w:i/>
        </w:rPr>
        <w:t>N</w:t>
      </w:r>
      <w:r>
        <w:t xml:space="preserve"> = 282; </w:t>
      </w:r>
      <w:r>
        <w:lastRenderedPageBreak/>
        <w:t xml:space="preserve">Rodrigues et al., 2024 </w:t>
      </w:r>
      <w:r>
        <w:rPr>
          <w:i/>
        </w:rPr>
        <w:t>N</w:t>
      </w:r>
      <w:r>
        <w:t xml:space="preserve"> = 260; Alkış &amp; Taşkaya Temizel, 2018 online subsample </w:t>
      </w:r>
      <w:r>
        <w:rPr>
          <w:i/>
        </w:rPr>
        <w:t>N</w:t>
      </w:r>
      <w:r>
        <w:t xml:space="preserve"> = 189) produced smaller pooled Conscientiousness estimates (</w:t>
      </w:r>
      <w:r>
        <w:rPr>
          <w:i/>
        </w:rPr>
        <w:t>r</w:t>
      </w:r>
      <w:r>
        <w:t xml:space="preserve"> ≈ .10) than the two smallest pool members (Abe, 2020 </w:t>
      </w:r>
      <w:r>
        <w:rPr>
          <w:i/>
        </w:rPr>
        <w:t>N</w:t>
      </w:r>
      <w:r>
        <w:t xml:space="preserve"> = 92; Elvers et al., 2003 online subset </w:t>
      </w:r>
      <w:r>
        <w:rPr>
          <w:i/>
        </w:rPr>
        <w:t>N</w:t>
      </w:r>
      <w:r>
        <w:t xml:space="preserve"> = 21; </w:t>
      </w:r>
      <w:r>
        <w:rPr>
          <w:i/>
        </w:rPr>
        <w:t>r</w:t>
      </w:r>
      <w: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i/>
        </w:rPr>
        <w:t>N</w:t>
      </w:r>
      <w:r>
        <w:t xml:space="preserve"> = 189) and blended (</w:t>
      </w:r>
      <w:r>
        <w:rPr>
          <w:i/>
        </w:rPr>
        <w:t>N</w:t>
      </w:r>
      <w:r>
        <w:t xml:space="preserve"> = 127) subsamples. A-28 Yu's MOOC context is itself a form of online learning. The </w:t>
      </w:r>
      <w:r>
        <w:rPr>
          <w:i/>
        </w:rPr>
        <w:t>k</w:t>
      </w:r>
      <w: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i/>
        </w:rPr>
        <w:t>r</w:t>
      </w:r>
      <w:r>
        <w:t xml:space="preserve"> to the primary quantitative achievement pool: A-25 reported test-completion outcomes without extractable achievement </w:t>
      </w:r>
      <w:r>
        <w:rPr>
          <w:i/>
        </w:rPr>
        <w:t>r</w:t>
      </w:r>
      <w:r>
        <w:t xml:space="preserve">, and A-26 reported only a </w:t>
      </w:r>
      <w:r>
        <w:rPr>
          <w:i/>
        </w:rPr>
        <w:t>β</w:t>
      </w:r>
      <w:r>
        <w:t xml:space="preserve"> path through engagement (no direct trait–achievement </w:t>
      </w:r>
      <w:r>
        <w:rPr>
          <w:i/>
        </w:rPr>
        <w:t>r</w:t>
      </w:r>
      <w:r>
        <w:t>). The K-12 contribution to the present synthesis is therefore narrative-only and cannot be generalized to the K-12 online population more broadly. Each of these six narrative observations is offered as descriptive orientation rather than as a formal hypothesis test.</w:t>
      </w:r>
    </w:p>
    <w:p w14:paraId="610CD8AD" w14:textId="77777777" w:rsidR="006A2C5A" w:rsidRDefault="00000000">
      <w:pPr>
        <w:pStyle w:val="21"/>
        <w:spacing w:line="480" w:lineRule="auto"/>
      </w:pPr>
      <w:r>
        <w:t>Software and Reproducibility</w:t>
      </w:r>
    </w:p>
    <w:p w14:paraId="44E160B4" w14:textId="77777777" w:rsidR="006A2C5A" w:rsidRDefault="00000000">
      <w:pPr>
        <w:spacing w:after="0" w:line="480" w:lineRule="auto"/>
        <w:ind w:firstLine="720"/>
      </w:pPr>
      <w:r>
        <w:t xml:space="preserve">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w:t>
      </w:r>
      <w:r>
        <w:lastRenderedPageBreak/>
        <w:t>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14:paraId="1547BCE6" w14:textId="77777777" w:rsidR="006A2C5A" w:rsidRDefault="00000000">
      <w:pPr>
        <w:pStyle w:val="1"/>
        <w:spacing w:line="480" w:lineRule="auto"/>
      </w:pPr>
      <w:r>
        <w:t>Results</w:t>
      </w:r>
    </w:p>
    <w:p w14:paraId="7C267F6B" w14:textId="77777777" w:rsidR="006A2C5A" w:rsidRDefault="00000000">
      <w:pPr>
        <w:pStyle w:val="21"/>
        <w:spacing w:line="480" w:lineRule="auto"/>
      </w:pPr>
      <w:r>
        <w:t>Study Selection</w:t>
      </w:r>
    </w:p>
    <w:p w14:paraId="6BF33117" w14:textId="77777777" w:rsidR="006A2C5A" w:rsidRDefault="00000000">
      <w:pPr>
        <w:spacing w:after="0" w:line="480" w:lineRule="auto"/>
        <w:ind w:firstLine="720"/>
      </w:pPr>
      <w:r>
        <w:t xml:space="preserve">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w:t>
      </w:r>
      <w:r>
        <w:lastRenderedPageBreak/>
        <w:t>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14:paraId="6BAF3E0F" w14:textId="77777777" w:rsidR="006A2C5A" w:rsidRDefault="00000000">
      <w:pPr>
        <w:spacing w:after="0" w:line="480" w:lineRule="auto"/>
        <w:ind w:firstLine="720"/>
      </w:pPr>
      <w: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i/>
        </w:rPr>
        <w:t>β</w:t>
      </w:r>
      <w:r>
        <w:t xml:space="preserve"> to </w:t>
      </w:r>
      <w:r>
        <w:rPr>
          <w:i/>
        </w:rPr>
        <w:t>r</w:t>
      </w:r>
      <w: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i/>
        </w:rPr>
        <w:t>r</w:t>
      </w:r>
      <w:r>
        <w:t xml:space="preserve"> values to the primary pool).</w:t>
      </w:r>
    </w:p>
    <w:p w14:paraId="3CECA548" w14:textId="77777777" w:rsidR="006A2C5A" w:rsidRDefault="00000000">
      <w:pPr>
        <w:pStyle w:val="21"/>
        <w:spacing w:line="480" w:lineRule="auto"/>
      </w:pPr>
      <w:r>
        <w:t>Characteristics of Included Studies</w:t>
      </w:r>
    </w:p>
    <w:p w14:paraId="5D8DA148" w14:textId="77777777" w:rsidR="006A2C5A" w:rsidRDefault="00000000">
      <w:pPr>
        <w:spacing w:after="0" w:line="480" w:lineRule="auto"/>
        <w:ind w:firstLine="720"/>
      </w:pPr>
      <w: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i/>
        </w:rPr>
        <w:t>N</w:t>
      </w:r>
      <w:r>
        <w:t xml:space="preserve"> of 260. The 10 studies contributing direct or β-converted Pearson correlations to the primary achievement pool aggregated a total </w:t>
      </w:r>
      <w:r>
        <w:lastRenderedPageBreak/>
        <w:t>sample of 3,384 participants (</w:t>
      </w:r>
      <w:r>
        <w:rPr>
          <w:i/>
        </w:rPr>
        <w:t>k</w:t>
      </w:r>
      <w:r>
        <w:t xml:space="preserve"> = 10 for Conscientiousness and Neuroticism; </w:t>
      </w:r>
      <w:r>
        <w:rPr>
          <w:i/>
        </w:rPr>
        <w:t>k</w:t>
      </w:r>
      <w:r>
        <w:t xml:space="preserve"> = 9 for Openness, Extraversion, Agreeableness — A-15 Elvers reported only C and </w:t>
      </w:r>
      <w:r>
        <w:rPr>
          <w:i/>
        </w:rPr>
        <w:t>N</w:t>
      </w:r>
      <w:r>
        <w:t>).</w:t>
      </w:r>
    </w:p>
    <w:p w14:paraId="1D71371A" w14:textId="77777777" w:rsidR="006A2C5A" w:rsidRDefault="00000000">
      <w:pPr>
        <w:spacing w:after="0" w:line="480" w:lineRule="auto"/>
        <w:ind w:firstLine="720"/>
      </w:pPr>
      <w: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i/>
        </w:rPr>
        <w:t>k</w:t>
      </w:r>
      <w:r>
        <w:t xml:space="preserve"> = 2. Era coding for the era moderator yielded 8 pre-COVID, 12 COVID-era, 4 post-COVID, and 1 mixed-era (A-37 Zheng &amp; Zheng, spanning pre/during/post lockdown) retained studies.</w:t>
      </w:r>
    </w:p>
    <w:p w14:paraId="1B5BA229" w14:textId="77777777" w:rsidR="006A2C5A" w:rsidRDefault="00000000">
      <w:pPr>
        <w:spacing w:after="0" w:line="480" w:lineRule="auto"/>
        <w:ind w:firstLine="720"/>
      </w:pPr>
      <w:r>
        <w:t xml:space="preserve">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&amp; Tsaknis's 30-item custom scale, Chinese-language Big Five scales of A-20 Mustafa et al. (2022) and A-26 Wang et al. (2023), and McCrae's 40-item scale used in A-28 Yu; 4 studies in total). Achievement outcomes in the 10-study primary pool were </w:t>
      </w:r>
      <w:r>
        <w:lastRenderedPageBreak/>
        <w:t>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14:paraId="2568BDD6" w14:textId="77777777" w:rsidR="006A2C5A" w:rsidRDefault="00000000">
      <w:pPr>
        <w:pStyle w:val="21"/>
        <w:spacing w:line="480" w:lineRule="auto"/>
      </w:pPr>
      <w:r>
        <w:t>Risk of Bias Across Included Studies</w:t>
      </w:r>
    </w:p>
    <w:p w14:paraId="3E478466" w14:textId="77777777" w:rsidR="006A2C5A" w:rsidRDefault="00000000">
      <w:pPr>
        <w:spacing w:after="0" w:line="480" w:lineRule="auto"/>
        <w:ind w:firstLine="720"/>
      </w:pPr>
      <w:r>
        <w:t>Risk-of-bias ratings using the Joanna Briggs Institute 8-item checklist are reported per study in Table S2 (Supplementary Material). The mean aggregate score across the 25 retained studies was 5.44 (</w:t>
      </w:r>
      <w:r>
        <w:rPr>
          <w:i/>
        </w:rPr>
        <w:t>SD</w:t>
      </w:r>
      <w: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14:paraId="58AF05BC" w14:textId="77777777" w:rsidR="006A2C5A" w:rsidRDefault="00000000">
      <w:pPr>
        <w:pStyle w:val="21"/>
        <w:spacing w:line="480" w:lineRule="auto"/>
      </w:pPr>
      <w:r>
        <w:t>Primary Pooled Effect Sizes</w:t>
      </w:r>
    </w:p>
    <w:p w14:paraId="4D7BDE7A" w14:textId="77777777" w:rsidR="006A2C5A" w:rsidRDefault="00000000">
      <w:pPr>
        <w:spacing w:after="0" w:line="480" w:lineRule="auto"/>
        <w:ind w:firstLine="720"/>
      </w:pPr>
      <w:r>
        <w:t xml:space="preserve">Random-effects meta-analyses with REML estimation and Hartung-Knapp-Sidik-Jonkman confidence-interval adjustment were conducted separately for each Big Five trait. Pooled effect sizes, 95% confidence intervals, 95% prediction intervals, and heterogeneity </w:t>
      </w:r>
      <w:r>
        <w:lastRenderedPageBreak/>
        <w:t>statistics are summarized in Table 2. Forest plots for each trait are presented in Figures 2 through 6.</w:t>
      </w:r>
    </w:p>
    <w:p w14:paraId="2412DEB7" w14:textId="77777777" w:rsidR="006A2C5A" w:rsidRDefault="00000000">
      <w:pPr>
        <w:spacing w:after="0" w:line="480" w:lineRule="auto"/>
        <w:ind w:firstLine="720"/>
      </w:pPr>
      <w:r>
        <w:t xml:space="preserve">Conscientiousness and online academic achievement. Across </w:t>
      </w:r>
      <w:r>
        <w:rPr>
          <w:i/>
        </w:rPr>
        <w:t>k</w:t>
      </w:r>
      <w:r>
        <w:t xml:space="preserve"> = 10 studies (total </w:t>
      </w:r>
      <w:r>
        <w:rPr>
          <w:i/>
        </w:rPr>
        <w:t>N</w:t>
      </w:r>
      <w:r>
        <w:t xml:space="preserve"> = 3,384), the pooled correlation between Conscientiousness and academic achievement in online learning environments was </w:t>
      </w:r>
      <w:r>
        <w:rPr>
          <w:i/>
        </w:rPr>
        <w:t>r</w:t>
      </w:r>
      <w:r>
        <w:t xml:space="preserve"> = .167 (95% CI [.089, .243], 95% PI [−.020, .343]), partially supporting Hypothesis 1 (H1: expected </w:t>
      </w:r>
      <w:r>
        <w:rPr>
          <w:i/>
        </w:rPr>
        <w:t>ρ</w:t>
      </w:r>
      <w:r>
        <w:t xml:space="preserve"> = .20–.35). The point estimate was the largest of the five Big Five traits in the present synthesis, confirming the ordinal prediction of H1, but its magnitude was somewhat below the face-to-face benchmark range of </w:t>
      </w:r>
      <w:r>
        <w:rPr>
          <w:i/>
        </w:rPr>
        <w:t>ρ</w:t>
      </w:r>
      <w:r>
        <w:t xml:space="preserve"> = .19–.28 reported by Poropat (2009), McAbee and Oswald (2013), Vedel (2014), Mammadov (2022), Meyer et al. (2023), and Chen et al. (2025). Heterogeneity was moderate (Q(9) = 25.79, </w:t>
      </w:r>
      <w:r>
        <w:rPr>
          <w:i/>
        </w:rPr>
        <w:t>p</w:t>
      </w:r>
      <w:r>
        <w:t xml:space="preserve"> = .002; </w:t>
      </w:r>
      <w:r>
        <w:rPr>
          <w:i/>
        </w:rPr>
        <w:t>I²</w:t>
      </w:r>
      <w:r>
        <w:t xml:space="preserve"> = 65.1%; </w:t>
      </w:r>
      <w:r>
        <w:rPr>
          <w:i/>
        </w:rPr>
        <w:t>τ²</w:t>
      </w:r>
      <w:r>
        <w:t xml:space="preserve"> = .006; </w:t>
      </w:r>
      <w:r>
        <w:rPr>
          <w:i/>
        </w:rPr>
        <w:t>τ</w:t>
      </w:r>
      <w:r>
        <w:t xml:space="preserve"> = .076).</w:t>
      </w:r>
    </w:p>
    <w:p w14:paraId="02F6D7A5" w14:textId="77777777" w:rsidR="006A2C5A" w:rsidRDefault="00000000">
      <w:pPr>
        <w:spacing w:after="0" w:line="480" w:lineRule="auto"/>
        <w:ind w:firstLine="720"/>
      </w:pPr>
      <w:r>
        <w:t xml:space="preserve">Openness to Experience and online academic achievement. Across </w:t>
      </w:r>
      <w:r>
        <w:rPr>
          <w:i/>
        </w:rPr>
        <w:t>k</w:t>
      </w:r>
      <w:r>
        <w:t xml:space="preserve"> = 9 studies (total </w:t>
      </w:r>
      <w:r>
        <w:rPr>
          <w:i/>
        </w:rPr>
        <w:t>N</w:t>
      </w:r>
      <w:r>
        <w:t xml:space="preserve"> = 3,363), the pooled correlation was </w:t>
      </w:r>
      <w:r>
        <w:rPr>
          <w:i/>
        </w:rPr>
        <w:t>r</w:t>
      </w:r>
      <w:r>
        <w:t xml:space="preserve"> = .086 (95% CI [−.044, .214], 95% PI [−.273, .425]). This estimate was comparable to the face-to-face benchmark from Mammadov (2022; </w:t>
      </w:r>
      <w:r>
        <w:rPr>
          <w:i/>
        </w:rPr>
        <w:t>ρ</w:t>
      </w:r>
      <w:r>
        <w:t xml:space="preserve"> = .16) and smaller than the K-12 estimate of Meyer et al. (2023; </w:t>
      </w:r>
      <w:r>
        <w:rPr>
          <w:i/>
        </w:rPr>
        <w:t>ρ</w:t>
      </w:r>
      <w: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i/>
        </w:rPr>
        <w:t>p</w:t>
      </w:r>
      <w:r>
        <w:t xml:space="preserve"> &lt; .001; </w:t>
      </w:r>
      <w:r>
        <w:rPr>
          <w:i/>
        </w:rPr>
        <w:t>I²</w:t>
      </w:r>
      <w:r>
        <w:t xml:space="preserve"> = 92.0%; </w:t>
      </w:r>
      <w:r>
        <w:rPr>
          <w:i/>
        </w:rPr>
        <w:t>τ²</w:t>
      </w:r>
      <w:r>
        <w:t xml:space="preserve"> = .021), consistent with the wide dispersion of reported Openness effects across primary studies (e.g., </w:t>
      </w:r>
      <w:r>
        <w:rPr>
          <w:i/>
        </w:rPr>
        <w:t>r</w:t>
      </w:r>
      <w:r>
        <w:t xml:space="preserve"> = .35 for Abe's essay outcome; </w:t>
      </w:r>
      <w:r>
        <w:rPr>
          <w:i/>
        </w:rPr>
        <w:t>r</w:t>
      </w:r>
      <w:r>
        <w:t xml:space="preserve"> = .305 for Yu's MOOC composite vs. </w:t>
      </w:r>
      <w:r>
        <w:rPr>
          <w:i/>
        </w:rPr>
        <w:t>r</w:t>
      </w:r>
      <w:r>
        <w:t xml:space="preserve"> = −.066 for Rivers's asynchronous Moodle outcome).</w:t>
      </w:r>
    </w:p>
    <w:p w14:paraId="52BB7B27" w14:textId="77777777" w:rsidR="006A2C5A" w:rsidRDefault="00000000">
      <w:pPr>
        <w:spacing w:after="0" w:line="480" w:lineRule="auto"/>
        <w:ind w:firstLine="720"/>
      </w:pPr>
      <w:r>
        <w:t xml:space="preserve">Extraversion and online academic achievement. Across </w:t>
      </w:r>
      <w:r>
        <w:rPr>
          <w:i/>
        </w:rPr>
        <w:t>k</w:t>
      </w:r>
      <w:r>
        <w:t xml:space="preserve"> = 9 studies (total </w:t>
      </w:r>
      <w:r>
        <w:rPr>
          <w:i/>
        </w:rPr>
        <w:t>N</w:t>
      </w:r>
      <w:r>
        <w:t xml:space="preserve"> = 3,363), the pooled correlation was </w:t>
      </w:r>
      <w:r>
        <w:rPr>
          <w:i/>
        </w:rPr>
        <w:t>r</w:t>
      </w:r>
      <w:r>
        <w:t xml:space="preserve"> = .002 (95% CI [−.076, .080]). This null estimate supports </w:t>
      </w:r>
      <w:r>
        <w:lastRenderedPageBreak/>
        <w:t xml:space="preserve">Hypothesis 5 (H5), which predicted a null or weak negative Extraversion–achievement association in online environments. Notably, the direct negative effect reported by Rivers (2021; </w:t>
      </w:r>
      <w:r>
        <w:rPr>
          <w:i/>
        </w:rPr>
        <w:t>β</w:t>
      </w:r>
      <w:r>
        <w:t xml:space="preserve"> = −.168) and the MOOC finding of Yu (2021; standardized </w:t>
      </w:r>
      <w:r>
        <w:rPr>
          <w:i/>
        </w:rPr>
        <w:t>β</w:t>
      </w:r>
      <w:r>
        <w:t xml:space="preserve"> = −.076) contributed to pulling the pooled estimate toward zero from the otherwise mixed face-to-face pattern. Heterogeneity was moderate-to-high (Q(8) = 32.66, </w:t>
      </w:r>
      <w:r>
        <w:rPr>
          <w:i/>
        </w:rPr>
        <w:t>p</w:t>
      </w:r>
      <w:r>
        <w:t xml:space="preserve"> &lt; .001; </w:t>
      </w:r>
      <w:r>
        <w:rPr>
          <w:i/>
        </w:rPr>
        <w:t>I²</w:t>
      </w:r>
      <w:r>
        <w:t xml:space="preserve"> = 75.5%; </w:t>
      </w:r>
      <w:r>
        <w:rPr>
          <w:i/>
        </w:rPr>
        <w:t>τ²</w:t>
      </w:r>
      <w:r>
        <w:t xml:space="preserve"> = .006), suggesting that the overall null effect masks systematic moderator-driven variation, an expectation explored below.</w:t>
      </w:r>
    </w:p>
    <w:p w14:paraId="7D70796F" w14:textId="77777777" w:rsidR="006A2C5A" w:rsidRDefault="00000000">
      <w:pPr>
        <w:spacing w:after="0" w:line="480" w:lineRule="auto"/>
        <w:ind w:firstLine="720"/>
      </w:pPr>
      <w:r>
        <w:t xml:space="preserve">Agreeableness and online academic achievement. Across </w:t>
      </w:r>
      <w:r>
        <w:rPr>
          <w:i/>
        </w:rPr>
        <w:t>k</w:t>
      </w:r>
      <w:r>
        <w:t xml:space="preserve"> = 9 studies (total </w:t>
      </w:r>
      <w:r>
        <w:rPr>
          <w:i/>
        </w:rPr>
        <w:t>N</w:t>
      </w:r>
      <w:r>
        <w:t xml:space="preserve"> = 3,363), the pooled correlation was </w:t>
      </w:r>
      <w:r>
        <w:rPr>
          <w:i/>
        </w:rPr>
        <w:t>r</w:t>
      </w:r>
      <w:r>
        <w:t xml:space="preserve"> = .112 (95% CI [−.031, .250]). This estimate was slightly larger than the face-to-face benchmark of </w:t>
      </w:r>
      <w:r>
        <w:rPr>
          <w:i/>
        </w:rPr>
        <w:t>ρ</w:t>
      </w:r>
      <w: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i/>
        </w:rPr>
        <w:t>β</w:t>
      </w:r>
      <w:r>
        <w:t xml:space="preserve"> = .442); leave-one-out analysis confirmed Yu as the most influential study for the Agreeableness estimate (removal shifts </w:t>
      </w:r>
      <w:r>
        <w:rPr>
          <w:i/>
        </w:rPr>
        <w:t>r</w:t>
      </w:r>
      <w:r>
        <w:t xml:space="preserve"> from .112 to .038). Wang et al. (2023; </w:t>
      </w:r>
      <w:r>
        <w:rPr>
          <w:i/>
        </w:rPr>
        <w:t>β</w:t>
      </w:r>
      <w:r>
        <w:t xml:space="preserve"> = .112 from Agreeableness to engagement) and Baruth and Cohen (2023; </w:t>
      </w:r>
      <w:r>
        <w:rPr>
          <w:i/>
        </w:rPr>
        <w:t>ρ</w:t>
      </w:r>
      <w:r>
        <w:t xml:space="preserve"> = .458 with satisfaction) provide narrative support for Agreeableness amplification in East Asian and Israeli samples respectively, but neither contributed direct correlations to the primary pool. Heterogeneity was extremely high (Q(8) = 208.49, </w:t>
      </w:r>
      <w:r>
        <w:rPr>
          <w:i/>
        </w:rPr>
        <w:t>p</w:t>
      </w:r>
      <w:r>
        <w:t xml:space="preserve"> &lt; .001; </w:t>
      </w:r>
      <w:r>
        <w:rPr>
          <w:i/>
        </w:rPr>
        <w:t>I²</w:t>
      </w:r>
      <w:r>
        <w:t xml:space="preserve"> = 96.2%; </w:t>
      </w:r>
      <w:r>
        <w:rPr>
          <w:i/>
        </w:rPr>
        <w:t>τ²</w:t>
      </w:r>
      <w:r>
        <w:t xml:space="preserve"> = .030).</w:t>
      </w:r>
    </w:p>
    <w:p w14:paraId="5EEF883D" w14:textId="77777777" w:rsidR="006A2C5A" w:rsidRDefault="00000000">
      <w:pPr>
        <w:spacing w:after="0" w:line="480" w:lineRule="auto"/>
        <w:ind w:firstLine="720"/>
      </w:pPr>
      <w:r>
        <w:t xml:space="preserve">Neuroticism and online academic achievement. Across </w:t>
      </w:r>
      <w:r>
        <w:rPr>
          <w:i/>
        </w:rPr>
        <w:t>k</w:t>
      </w:r>
      <w:r>
        <w:t xml:space="preserve"> = 10 studies (total </w:t>
      </w:r>
      <w:r>
        <w:rPr>
          <w:i/>
        </w:rPr>
        <w:t>N</w:t>
      </w:r>
      <w:r>
        <w:t xml:space="preserve"> = 3,384), the pooled correlation was </w:t>
      </w:r>
      <w:r>
        <w:rPr>
          <w:i/>
        </w:rPr>
        <w:t>r</w:t>
      </w:r>
      <w: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i/>
        </w:rPr>
        <w:t>p</w:t>
      </w:r>
      <w:r>
        <w:t xml:space="preserve"> &lt; .001; </w:t>
      </w:r>
      <w:r>
        <w:rPr>
          <w:i/>
        </w:rPr>
        <w:lastRenderedPageBreak/>
        <w:t>I²</w:t>
      </w:r>
      <w:r>
        <w:t xml:space="preserve"> = 79.0%; </w:t>
      </w:r>
      <w:r>
        <w:rPr>
          <w:i/>
        </w:rPr>
        <w:t>τ²</w:t>
      </w:r>
      <w:r>
        <w:t xml:space="preserve"> = .010). Within the 10-study primary Neuroticism pool, signs were mixed: Rodrigues et al. (2024) reported a negative direct association with sign-flipped GPA (</w:t>
      </w:r>
      <w:r>
        <w:rPr>
          <w:i/>
        </w:rPr>
        <w:t>r</w:t>
      </w:r>
      <w:r>
        <w:t xml:space="preserve"> = −.142), and Bahçekapılı and Karaman (2020) likewise reported a negative direct </w:t>
      </w:r>
      <w:r>
        <w:rPr>
          <w:i/>
        </w:rPr>
        <w:t>r</w:t>
      </w:r>
      <w:r>
        <w:t xml:space="preserve"> (−.072), whereas the two β-converted contributions (Yu, 2021 weakly positive </w:t>
      </w:r>
      <w:r>
        <w:rPr>
          <w:i/>
        </w:rPr>
        <w:t>β</w:t>
      </w:r>
      <w:r>
        <w:t xml:space="preserve"> = .037; Kaspar et al., 2023 </w:t>
      </w:r>
      <w:r>
        <w:rPr>
          <w:i/>
        </w:rPr>
        <w:t>β</w:t>
      </w:r>
      <w:r>
        <w:t xml:space="preserve"> = .20 driven by a suppressor effect of covariates) pulled the pooled estimate toward zero. Convergent narrative evidence of negative associations between Neuroticism and well-being or satisfaction was reported by Baruth and Cohen (2023; </w:t>
      </w:r>
      <w:r>
        <w:rPr>
          <w:i/>
        </w:rPr>
        <w:t>ρ</w:t>
      </w:r>
      <w:r>
        <w:t xml:space="preserve"> = −.542 with general satisfaction; secondary-outcome study, not in the primary pool). The β-excluded sensitivity analysis (see below) reduced the pooled </w:t>
      </w:r>
      <w:r>
        <w:rPr>
          <w:i/>
        </w:rPr>
        <w:t>N</w:t>
      </w:r>
      <w:r>
        <w:t xml:space="preserve"> estimate to </w:t>
      </w:r>
      <w:r>
        <w:rPr>
          <w:i/>
        </w:rPr>
        <w:t>r</w:t>
      </w:r>
      <w:r>
        <w:t xml:space="preserve"> = −.043, partially consistent with H4 under β-free conditions.</w:t>
      </w:r>
    </w:p>
    <w:p w14:paraId="264A822D" w14:textId="77777777" w:rsidR="006A2C5A" w:rsidRDefault="00000000">
      <w:pPr>
        <w:pStyle w:val="21"/>
        <w:spacing w:line="480" w:lineRule="auto"/>
      </w:pPr>
      <w:r>
        <w:t>Between-Study Heterogeneity</w:t>
      </w:r>
    </w:p>
    <w:p w14:paraId="1370AF0C" w14:textId="77777777" w:rsidR="006A2C5A" w:rsidRDefault="00000000">
      <w:pPr>
        <w:spacing w:after="0" w:line="480" w:lineRule="auto"/>
        <w:ind w:firstLine="720"/>
      </w:pPr>
      <w:r>
        <w:t xml:space="preserve">Substantial between-study heterogeneity was observed across all five trait pools, with </w:t>
      </w:r>
      <w:r>
        <w:rPr>
          <w:i/>
        </w:rPr>
        <w:t>I²</w:t>
      </w:r>
      <w:r>
        <w:t xml:space="preserve"> values ranging from 65.1% (Conscientiousness) to 96.2% (Agreeableness). The consistently high </w:t>
      </w:r>
      <w:r>
        <w:rPr>
          <w:i/>
        </w:rPr>
        <w:t>I²</w:t>
      </w:r>
      <w: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14:paraId="64F829C3" w14:textId="77777777" w:rsidR="006A2C5A" w:rsidRDefault="00000000">
      <w:pPr>
        <w:pStyle w:val="21"/>
        <w:spacing w:line="480" w:lineRule="auto"/>
      </w:pPr>
      <w:r>
        <w:t>Moderator Analyses</w:t>
      </w:r>
    </w:p>
    <w:p w14:paraId="1F6705D8" w14:textId="77777777" w:rsidR="006A2C5A" w:rsidRDefault="00000000">
      <w:pPr>
        <w:spacing w:after="0" w:line="480" w:lineRule="auto"/>
        <w:ind w:firstLine="720"/>
      </w:pPr>
      <w:r>
        <w:t>Three pre-registered moderators met the minimum k-per-level requirement of the present synthesis and were analyzed quantitatively via subgroup random-effects meta-analyses: region (Asia vs. non-Asia), era (pre-COVID vs. COVID-era), and outcome type (objective vs. self-</w:t>
      </w:r>
      <w:r>
        <w:lastRenderedPageBreak/>
        <w:t xml:space="preserve">reported achievement). The remaining six pre-registered moderators (personality instrument, publication year, log-sample size, risk-of-bias score, modality, education level) did not meet the </w:t>
      </w:r>
      <w:r>
        <w:rPr>
          <w:i/>
        </w:rPr>
        <w:t>k</w:t>
      </w:r>
      <w:r>
        <w:t xml:space="preserve"> ≥ 10 per predictor level requirement, and are reported narratively below and in the Methods Deviations subsection. Full moderator results are presented in Table 3.</w:t>
      </w:r>
    </w:p>
    <w:p w14:paraId="4E57E771" w14:textId="77777777" w:rsidR="006A2C5A" w:rsidRDefault="00000000">
      <w:pPr>
        <w:spacing w:after="0" w:line="480" w:lineRule="auto"/>
        <w:ind w:firstLine="720"/>
      </w:pPr>
      <w:r>
        <w:t xml:space="preserve">Region. The Asian-sample pattern reported by Mammadov (2022) and Chen et al. (2025) was evaluated with </w:t>
      </w:r>
      <w:r>
        <w:rPr>
          <w:i/>
        </w:rPr>
        <w:t>k</w:t>
      </w:r>
      <w:r>
        <w:t xml:space="preserve"> = 2 Asian studies against </w:t>
      </w:r>
      <w:r>
        <w:rPr>
          <w:i/>
        </w:rPr>
        <w:t>k</w:t>
      </w:r>
      <w:r>
        <w:t xml:space="preserve"> = 7–8 non-Asian studies per trait. A highly significant region effect emerged for Extraversion: in the Asian subgroup the pooled correlation was </w:t>
      </w:r>
      <w:r>
        <w:rPr>
          <w:i/>
        </w:rPr>
        <w:t>r</w:t>
      </w:r>
      <w:r>
        <w:t xml:space="preserve"> = −.131 (95% CI [−.314, .061]), whereas in the non-Asian subgroup it was </w:t>
      </w:r>
      <w:r>
        <w:rPr>
          <w:i/>
        </w:rPr>
        <w:t>r</w:t>
      </w:r>
      <w:r>
        <w:t xml:space="preserve"> = .050 (95% CI [−.004, .104]); Q_between(1) = 46.43, </w:t>
      </w:r>
      <w:r>
        <w:rPr>
          <w:i/>
        </w:rPr>
        <w:t>p</w:t>
      </w:r>
      <w: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i/>
        </w:rPr>
        <w:t>r</w:t>
      </w:r>
      <w:r>
        <w:t xml:space="preserve"> = .089 vs. non-Asia </w:t>
      </w:r>
      <w:r>
        <w:rPr>
          <w:i/>
        </w:rPr>
        <w:t>r</w:t>
      </w:r>
      <w:r>
        <w:t xml:space="preserve"> = −.007; Q_between(1) = 3.31, </w:t>
      </w:r>
      <w:r>
        <w:rPr>
          <w:i/>
        </w:rPr>
        <w:t>p</w:t>
      </w:r>
      <w:r>
        <w:t xml:space="preserve"> = .069) and for Agreeableness (Asia </w:t>
      </w:r>
      <w:r>
        <w:rPr>
          <w:i/>
        </w:rPr>
        <w:t>r</w:t>
      </w:r>
      <w:r>
        <w:t xml:space="preserve"> = .330 vs. non-Asia </w:t>
      </w:r>
      <w:r>
        <w:rPr>
          <w:i/>
        </w:rPr>
        <w:t>r</w:t>
      </w:r>
      <w:r>
        <w:t xml:space="preserve"> = .030; Q_between(1) = 2.17, </w:t>
      </w:r>
      <w:r>
        <w:rPr>
          <w:i/>
        </w:rPr>
        <w:t>p</w:t>
      </w:r>
      <w:r>
        <w:t xml:space="preserve"> = .140). Counterintuitively, the Conscientiousness effect was slightly weaker in the Asian subgroup (</w:t>
      </w:r>
      <w:r>
        <w:rPr>
          <w:i/>
        </w:rPr>
        <w:t>r</w:t>
      </w:r>
      <w:r>
        <w:t xml:space="preserve"> = .111) than in the non-Asian subgroup (</w:t>
      </w:r>
      <w:r>
        <w:rPr>
          <w:i/>
        </w:rPr>
        <w:t>r</w:t>
      </w:r>
      <w:r>
        <w:t xml:space="preserve"> = .185); Q_between(1) = 2.68, </w:t>
      </w:r>
      <w:r>
        <w:rPr>
          <w:i/>
        </w:rPr>
        <w:t>p</w:t>
      </w:r>
      <w:r>
        <w:t xml:space="preserve"> = .102. The </w:t>
      </w:r>
      <w:r>
        <w:rPr>
          <w:i/>
        </w:rPr>
        <w:t>k</w:t>
      </w:r>
      <w:r>
        <w:t xml:space="preserve"> = 2 Asian subsample limits power, and replication is required.</w:t>
      </w:r>
    </w:p>
    <w:p w14:paraId="1D56A7D4" w14:textId="77777777" w:rsidR="006A2C5A" w:rsidRDefault="00000000">
      <w:pPr>
        <w:spacing w:after="0" w:line="480" w:lineRule="auto"/>
        <w:ind w:firstLine="720"/>
      </w:pPr>
      <w:r>
        <w:t xml:space="preserve">Era. The pre-COVID vs. COVID-era contrast yielded no significant moderation for any trait (all </w:t>
      </w:r>
      <w:r>
        <w:rPr>
          <w:i/>
        </w:rPr>
        <w:t>Q_between</w:t>
      </w:r>
      <w:r>
        <w:t xml:space="preserve"> </w:t>
      </w:r>
      <w:r>
        <w:rPr>
          <w:i/>
        </w:rPr>
        <w:t>p</w:t>
      </w:r>
      <w:r>
        <w:t xml:space="preserve"> &gt; .15). Notably, Conscientiousness effects were comparable across eras (pre-COVID </w:t>
      </w:r>
      <w:r>
        <w:rPr>
          <w:i/>
        </w:rPr>
        <w:t>r</w:t>
      </w:r>
      <w:r>
        <w:t xml:space="preserve"> = .208 vs. COVID </w:t>
      </w:r>
      <w:r>
        <w:rPr>
          <w:i/>
        </w:rPr>
        <w:t>r</w:t>
      </w:r>
      <w:r>
        <w:t xml:space="preserve"> = .179; Q_between(1) = 0.13, </w:t>
      </w:r>
      <w:r>
        <w:rPr>
          <w:i/>
        </w:rPr>
        <w:t>p</w:t>
      </w:r>
      <w:r>
        <w:t xml:space="preserve"> = .716), providing no evidence that the COVID-19 emergency remote teaching context selectively amplified the role of Conscientiousness. The Neuroticism-era pattern was consistent with an attenuation hypothesis (pre-COVID </w:t>
      </w:r>
      <w:r>
        <w:rPr>
          <w:i/>
        </w:rPr>
        <w:t>r</w:t>
      </w:r>
      <w:r>
        <w:t xml:space="preserve"> = −.050 vs. COVID </w:t>
      </w:r>
      <w:r>
        <w:rPr>
          <w:i/>
        </w:rPr>
        <w:t>r</w:t>
      </w:r>
      <w:r>
        <w:t xml:space="preserve"> = .060; Q_between(1) = 2.04, </w:t>
      </w:r>
      <w:r>
        <w:rPr>
          <w:i/>
        </w:rPr>
        <w:t>p</w:t>
      </w:r>
      <w:r>
        <w:t xml:space="preserve"> = .153), but did not reach conventional significance. The post-COVID era could not be isolated as a moderator subgroup </w:t>
      </w:r>
      <w:r>
        <w:lastRenderedPageBreak/>
        <w:t>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14:paraId="20713853" w14:textId="77777777" w:rsidR="006A2C5A" w:rsidRDefault="00000000">
      <w:pPr>
        <w:spacing w:after="0" w:line="480" w:lineRule="auto"/>
        <w:ind w:firstLine="720"/>
      </w:pPr>
      <w:r>
        <w:t xml:space="preserve">Outcome type. A second highly significant moderator effect emerged for Extraversion: in objective achievement outcomes (GPA, MOOC composite, course grade; </w:t>
      </w:r>
      <w:r>
        <w:rPr>
          <w:i/>
        </w:rPr>
        <w:t>k</w:t>
      </w:r>
      <w:r>
        <w:t xml:space="preserve"> = 7) the pooled correlation was </w:t>
      </w:r>
      <w:r>
        <w:rPr>
          <w:i/>
        </w:rPr>
        <w:t>r</w:t>
      </w:r>
      <w:r>
        <w:t xml:space="preserve"> = −.038 (95% CI calculation yielded narrow bounds near zero), whereas in self-rated performance outcomes (</w:t>
      </w:r>
      <w:r>
        <w:rPr>
          <w:i/>
        </w:rPr>
        <w:t>k</w:t>
      </w:r>
      <w:r>
        <w:t xml:space="preserve"> = 2) it was </w:t>
      </w:r>
      <w:r>
        <w:rPr>
          <w:i/>
        </w:rPr>
        <w:t>r</w:t>
      </w:r>
      <w:r>
        <w:t xml:space="preserve"> = .117; Q_between(1) = 17.30, </w:t>
      </w:r>
      <w:r>
        <w:rPr>
          <w:i/>
        </w:rPr>
        <w:t>p</w:t>
      </w:r>
      <w: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i/>
        </w:rPr>
        <w:t>Q_between</w:t>
      </w:r>
      <w:r>
        <w:t xml:space="preserve"> </w:t>
      </w:r>
      <w:r>
        <w:rPr>
          <w:i/>
        </w:rPr>
        <w:t>p</w:t>
      </w:r>
      <w:r>
        <w:t xml:space="preserve"> &gt; .12). The six remaining pre-registered moderators could not be tested quantitatively due to insufficient </w:t>
      </w:r>
      <w:r>
        <w:rPr>
          <w:i/>
        </w:rPr>
        <w:t>k</w:t>
      </w:r>
      <w:r>
        <w:t xml:space="preserve"> per level; the narrative description is provided in Methods.</w:t>
      </w:r>
    </w:p>
    <w:p w14:paraId="328A867E" w14:textId="77777777" w:rsidR="006A2C5A" w:rsidRDefault="00000000">
      <w:pPr>
        <w:pStyle w:val="21"/>
        <w:spacing w:line="480" w:lineRule="auto"/>
      </w:pPr>
      <w:r>
        <w:t>Sensitivity Analyses</w:t>
      </w:r>
    </w:p>
    <w:p w14:paraId="07566E69" w14:textId="77777777" w:rsidR="006A2C5A" w:rsidRDefault="00000000">
      <w:pPr>
        <w:spacing w:after="0" w:line="480" w:lineRule="auto"/>
        <w:ind w:firstLine="720"/>
      </w:pPr>
      <w: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w:t>
      </w:r>
      <w:r>
        <w:lastRenderedPageBreak/>
        <w:t xml:space="preserve">Brown-converted from </w:t>
      </w:r>
      <w:r>
        <w:rPr>
          <w:i/>
        </w:rPr>
        <w:t>β</w:t>
      </w:r>
      <w:r>
        <w:t xml:space="preserve"> to </w:t>
      </w:r>
      <w:r>
        <w:rPr>
          <w:i/>
        </w:rPr>
        <w:t>r</w:t>
      </w:r>
      <w:r>
        <w:t xml:space="preserve"> produced larger changes, particularly for Neuroticism (pooled </w:t>
      </w:r>
      <w:r>
        <w:rPr>
          <w:i/>
        </w:rPr>
        <w:t>r</w:t>
      </w:r>
      <w: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i/>
        </w:rPr>
        <w:t>r</w:t>
      </w:r>
      <w:r>
        <w:t xml:space="preserve"> from .112 to .038, |Δr| = .074) and the Extraversion pool (removal shifted </w:t>
      </w:r>
      <w:r>
        <w:rPr>
          <w:i/>
        </w:rPr>
        <w:t>r</w:t>
      </w:r>
      <w:r>
        <w:t xml:space="preserve"> from .002 to .031, |Δr| = .028), reflecting Yu's MOOC composite as the largest β-converted objective-outcome contribution in the synthesis. No other study produced |Δr| &gt; .05 on any trait.</w:t>
      </w:r>
    </w:p>
    <w:p w14:paraId="19D6756F" w14:textId="77777777" w:rsidR="006A2C5A" w:rsidRDefault="00000000">
      <w:pPr>
        <w:pStyle w:val="21"/>
        <w:spacing w:line="480" w:lineRule="auto"/>
      </w:pPr>
      <w:r>
        <w:t>Publication Bias Assessment</w:t>
      </w:r>
    </w:p>
    <w:p w14:paraId="5363DB25" w14:textId="77777777" w:rsidR="006A2C5A" w:rsidRDefault="00000000">
      <w:pPr>
        <w:spacing w:after="0" w:line="480" w:lineRule="auto"/>
        <w:ind w:firstLine="720"/>
      </w:pPr>
      <w:r>
        <w:t xml:space="preserve">Funnel plots for each trait are presented in Figures 7A through 7E. Egger's regression asymmetry test was significant for Openness (intercept = −6.41, SE = 2.63, t(7) = −2.43, </w:t>
      </w:r>
      <w:r>
        <w:rPr>
          <w:i/>
        </w:rPr>
        <w:t>p</w:t>
      </w:r>
      <w:r>
        <w:t xml:space="preserve"> = .045) and approached significance for Agreeableness (intercept = −8.53, SE = 4.03, t(7) = −2.12, </w:t>
      </w:r>
      <w:r>
        <w:rPr>
          <w:i/>
        </w:rPr>
        <w:t>p</w:t>
      </w:r>
      <w:r>
        <w:t xml:space="preserve"> = .072). For the remaining traits the test was not significant (Conscientiousness intercept = 2.14, </w:t>
      </w:r>
      <w:r>
        <w:rPr>
          <w:i/>
        </w:rPr>
        <w:t>p</w:t>
      </w:r>
      <w:r>
        <w:t xml:space="preserve"> = .094; Extraversion intercept = 2.29, </w:t>
      </w:r>
      <w:r>
        <w:rPr>
          <w:i/>
        </w:rPr>
        <w:t>p</w:t>
      </w:r>
      <w:r>
        <w:t xml:space="preserve"> = .255; Neuroticism intercept = −1.79, </w:t>
      </w:r>
      <w:r>
        <w:rPr>
          <w:i/>
        </w:rPr>
        <w:t>p</w:t>
      </w:r>
      <w:r>
        <w:t xml:space="preserve"> = .304). Given the low statistical power of Egger's test with </w:t>
      </w:r>
      <w:r>
        <w:rPr>
          <w:i/>
        </w:rPr>
        <w:t>k</w:t>
      </w:r>
      <w:r>
        <w:t xml:space="preserve"> = 9–10, a non-significant result does not rule out publication bias, particularly for effects for which the direction of asymmetry is consistent with expected small-study positive bias (Conscientiousness).</w:t>
      </w:r>
    </w:p>
    <w:p w14:paraId="38DB00A5" w14:textId="77777777" w:rsidR="006A2C5A" w:rsidRDefault="00000000">
      <w:pPr>
        <w:spacing w:after="0" w:line="480" w:lineRule="auto"/>
        <w:ind w:firstLine="720"/>
      </w:pPr>
      <w:r>
        <w:t xml:space="preserve">Duval and Tweedie's (2000) trim-and-fill procedure imputed hypothetical missing studies on the under-represented side of the funnel for three of the five traits: one additional study for Openness (adjusted </w:t>
      </w:r>
      <w:r>
        <w:rPr>
          <w:i/>
        </w:rPr>
        <w:t>r</w:t>
      </w:r>
      <w:r>
        <w:t xml:space="preserve"> = .107 vs. original </w:t>
      </w:r>
      <w:r>
        <w:rPr>
          <w:i/>
        </w:rPr>
        <w:t>r</w:t>
      </w:r>
      <w:r>
        <w:t xml:space="preserve"> = .086), two for Extraversion (adjusted </w:t>
      </w:r>
      <w:r>
        <w:rPr>
          <w:i/>
        </w:rPr>
        <w:t>r</w:t>
      </w:r>
      <w:r>
        <w:t xml:space="preserve"> = −.036 vs. original </w:t>
      </w:r>
      <w:r>
        <w:rPr>
          <w:i/>
        </w:rPr>
        <w:t>r</w:t>
      </w:r>
      <w:r>
        <w:t xml:space="preserve"> = .002), and zero for Conscientiousness, Agreeableness, and Neuroticism. The adjusted Extraversion estimate moved slightly in the negative direction expected under Hypothesis 5, </w:t>
      </w:r>
      <w:r>
        <w:lastRenderedPageBreak/>
        <w:t>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14:paraId="44B48A7D" w14:textId="77777777" w:rsidR="006A2C5A" w:rsidRDefault="00000000">
      <w:pPr>
        <w:pStyle w:val="21"/>
        <w:spacing w:line="480" w:lineRule="auto"/>
      </w:pPr>
      <w:r>
        <w:t>GRADE Summary of Findings</w:t>
      </w:r>
    </w:p>
    <w:p w14:paraId="5D31C15D" w14:textId="77777777" w:rsidR="006A2C5A" w:rsidRDefault="00000000">
      <w:pPr>
        <w:spacing w:after="0" w:line="480" w:lineRule="auto"/>
        <w:ind w:firstLine="720"/>
      </w:pPr>
      <w: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i/>
        </w:rPr>
        <w:t>I²</w:t>
      </w:r>
      <w:r>
        <w:t xml:space="preserve"> = 65.1% with a PI that just crosses zero), direct relevance to the review question, adequate precision (CI width = .15 &lt; 2 × MOI of .10), and borderline publication-bias signal (Egger </w:t>
      </w:r>
      <w:r>
        <w:rPr>
          <w:i/>
        </w:rPr>
        <w:t>p</w:t>
      </w:r>
      <w:r>
        <w:t xml:space="preserve"> = .094). Confidence in the pooled Openness estimate was rated Low due to very high inconsistency (</w:t>
      </w:r>
      <w:r>
        <w:rPr>
          <w:i/>
        </w:rPr>
        <w:t>I²</w:t>
      </w:r>
      <w:r>
        <w:t xml:space="preserve"> = 92.0%), wide imprecision (CI = [−.044, .214]), and significant Egger asymmetry (</w:t>
      </w:r>
      <w:r>
        <w:rPr>
          <w:i/>
        </w:rPr>
        <w:t>p</w:t>
      </w:r>
      <w: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i/>
        </w:rPr>
        <w:t>I²</w:t>
      </w:r>
      <w:r>
        <w:t xml:space="preserve"> (96.2%) and trend-level Egger asymmetry (</w:t>
      </w:r>
      <w:r>
        <w:rPr>
          <w:i/>
        </w:rPr>
        <w:t>p</w:t>
      </w:r>
      <w:r>
        <w:t xml:space="preserve"> = .072). Confidence in the pooled Neuroticism estimate was rated Low, reflecting moderate-to-high inconsistency (</w:t>
      </w:r>
      <w:r>
        <w:rPr>
          <w:i/>
        </w:rPr>
        <w:t>I²</w:t>
      </w:r>
      <w: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14:paraId="58D3F276" w14:textId="77777777" w:rsidR="006A2C5A" w:rsidRDefault="00000000">
      <w:pPr>
        <w:pStyle w:val="1"/>
        <w:spacing w:line="480" w:lineRule="auto"/>
      </w:pPr>
      <w:r>
        <w:lastRenderedPageBreak/>
        <w:t>Discussion</w:t>
      </w:r>
    </w:p>
    <w:p w14:paraId="5609855D" w14:textId="77777777" w:rsidR="006A2C5A" w:rsidRDefault="00000000">
      <w:pPr>
        <w:pStyle w:val="21"/>
        <w:spacing w:line="480" w:lineRule="auto"/>
      </w:pPr>
      <w:r>
        <w:t>Summary of Findings</w:t>
      </w:r>
    </w:p>
    <w:p w14:paraId="464E1B39" w14:textId="77777777" w:rsidR="006A2C5A" w:rsidRDefault="00000000">
      <w:pPr>
        <w:spacing w:after="0" w:line="480" w:lineRule="auto"/>
        <w:ind w:firstLine="720"/>
      </w:pPr>
      <w: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i/>
        </w:rPr>
        <w:t>N</w:t>
      </w:r>
      <w:r>
        <w:t xml:space="preserve"> = 3,384), the pooled correlation between Conscientiousness and online academic achievement was </w:t>
      </w:r>
      <w:r>
        <w:rPr>
          <w:i/>
        </w:rPr>
        <w:t>r</w:t>
      </w:r>
      <w:r>
        <w:t xml:space="preserve"> = .167 (95% CI [.089, .243]). Comparable estimates were obtained for Openness (</w:t>
      </w:r>
      <w:r>
        <w:rPr>
          <w:i/>
        </w:rPr>
        <w:t>r</w:t>
      </w:r>
      <w:r>
        <w:t xml:space="preserve"> = .086 [−.044, .214]), Agreeableness (</w:t>
      </w:r>
      <w:r>
        <w:rPr>
          <w:i/>
        </w:rPr>
        <w:t>r</w:t>
      </w:r>
      <w:r>
        <w:t xml:space="preserve"> = .112 [−.031, .250]), Neuroticism (</w:t>
      </w:r>
      <w:r>
        <w:rPr>
          <w:i/>
        </w:rPr>
        <w:t>r</w:t>
      </w:r>
      <w:r>
        <w:t xml:space="preserve"> = .018 [−.079, .114]), and Extraversion (</w:t>
      </w:r>
      <w:r>
        <w:rPr>
          <w:i/>
        </w:rPr>
        <w:t>r</w:t>
      </w:r>
      <w: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i/>
        </w:rPr>
        <w:t>ρ</w:t>
      </w:r>
      <w: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i/>
        </w:rPr>
        <w:t>Q_between</w:t>
      </w:r>
      <w:r>
        <w:t xml:space="preserve"> = 46.43, </w:t>
      </w:r>
      <w:r>
        <w:rPr>
          <w:i/>
        </w:rPr>
        <w:t>p</w:t>
      </w:r>
      <w:r>
        <w:t xml:space="preserve"> &lt; .001), with Asian samples showing </w:t>
      </w:r>
      <w:r>
        <w:rPr>
          <w:i/>
        </w:rPr>
        <w:t>r</w:t>
      </w:r>
      <w:r>
        <w:t xml:space="preserve"> = −.131 vs. non-Asian </w:t>
      </w:r>
      <w:r>
        <w:rPr>
          <w:i/>
        </w:rPr>
        <w:t>r</w:t>
      </w:r>
      <w:r>
        <w:t xml:space="preserve"> = .050, and Extraversion × Outcome Type (</w:t>
      </w:r>
      <w:r>
        <w:rPr>
          <w:i/>
        </w:rPr>
        <w:t>Q_between</w:t>
      </w:r>
      <w:r>
        <w:t xml:space="preserve"> = 17.30, </w:t>
      </w:r>
      <w:r>
        <w:rPr>
          <w:i/>
        </w:rPr>
        <w:t>p</w:t>
      </w:r>
      <w:r>
        <w:t xml:space="preserve"> &lt; .001), with objective outcomes showing </w:t>
      </w:r>
      <w:r>
        <w:rPr>
          <w:i/>
        </w:rPr>
        <w:t>r</w:t>
      </w:r>
      <w:r>
        <w:t xml:space="preserve"> = −.038 vs. self-rated </w:t>
      </w:r>
      <w:r>
        <w:rPr>
          <w:i/>
        </w:rPr>
        <w:t>r</w:t>
      </w:r>
      <w:r>
        <w:t xml:space="preserve"> = .117.</w:t>
      </w:r>
    </w:p>
    <w:p w14:paraId="3D773CC3" w14:textId="77777777" w:rsidR="006A2C5A" w:rsidRDefault="00000000">
      <w:pPr>
        <w:pStyle w:val="21"/>
        <w:spacing w:line="480" w:lineRule="auto"/>
      </w:pPr>
      <w:r>
        <w:t>Evaluation of Pre-registered Hypotheses</w:t>
      </w:r>
    </w:p>
    <w:p w14:paraId="2262E3A0" w14:textId="77777777" w:rsidR="006A2C5A" w:rsidRDefault="00000000">
      <w:pPr>
        <w:spacing w:after="0" w:line="480" w:lineRule="auto"/>
        <w:ind w:firstLine="720"/>
      </w:pPr>
      <w:r>
        <w:t xml:space="preserve">Hypothesis 1 (Conscientiousness as strongest positive predictor). The pooled Conscientiousness–achievement correlation of </w:t>
      </w:r>
      <w:r>
        <w:rPr>
          <w:i/>
        </w:rPr>
        <w:t>r</w:t>
      </w:r>
      <w:r>
        <w:t xml:space="preserve"> = .167 fell slightly below the pre-specified range </w:t>
      </w:r>
      <w:r>
        <w:lastRenderedPageBreak/>
        <w:t xml:space="preserve">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i/>
        </w:rPr>
        <w:t>ρ</w:t>
      </w:r>
      <w:r>
        <w:t xml:space="preserve"> = .22), McAbee and Oswald (2013; </w:t>
      </w:r>
      <w:r>
        <w:rPr>
          <w:i/>
        </w:rPr>
        <w:t>ρ</w:t>
      </w:r>
      <w:r>
        <w:t xml:space="preserve"> = .26), Vedel (2014; </w:t>
      </w:r>
      <w:r>
        <w:rPr>
          <w:i/>
        </w:rPr>
        <w:t>ρ</w:t>
      </w:r>
      <w:r>
        <w:t xml:space="preserve"> = .26), Mammadov (2022; </w:t>
      </w:r>
      <w:r>
        <w:rPr>
          <w:i/>
        </w:rPr>
        <w:t>ρ</w:t>
      </w:r>
      <w:r>
        <w:t xml:space="preserve"> = .27), and Chen et al. (2025; </w:t>
      </w:r>
      <w:r>
        <w:rPr>
          <w:i/>
        </w:rPr>
        <w:t>r</w:t>
      </w:r>
      <w:r>
        <w:t xml:space="preserve"> = .206), a pattern consistent with the theoretical prediction that online auto-grading reduces the teacher-observation pathway through which Conscientiousness is channeled into grades (see Theoretical Implications below).</w:t>
      </w:r>
    </w:p>
    <w:p w14:paraId="46C34259" w14:textId="77777777" w:rsidR="006A2C5A" w:rsidRDefault="00000000">
      <w:pPr>
        <w:spacing w:after="0" w:line="480" w:lineRule="auto"/>
        <w:ind w:firstLine="720"/>
      </w:pPr>
      <w:r>
        <w:t>Hypothesis 2 (Openness as second-strongest positive predictor). The pooled Openness–achievement correlation (</w:t>
      </w:r>
      <w:r>
        <w:rPr>
          <w:i/>
        </w:rPr>
        <w:t>r</w:t>
      </w:r>
      <w:r>
        <w:t xml:space="preserve"> = .086) was the third-largest positive effect in the present synthesis, surpassed by both Conscientiousness (</w:t>
      </w:r>
      <w:r>
        <w:rPr>
          <w:i/>
        </w:rPr>
        <w:t>r</w:t>
      </w:r>
      <w:r>
        <w:t xml:space="preserve"> = .167) and Agreeableness (</w:t>
      </w:r>
      <w:r>
        <w:rPr>
          <w:i/>
        </w:rPr>
        <w:t>r</w:t>
      </w:r>
      <w:r>
        <w:t xml:space="preserve"> = .112). The 95% confidence interval crossed zero, and the estimate was comparable to the face-to-face benchmark of Mammadov (2022; </w:t>
      </w:r>
      <w:r>
        <w:rPr>
          <w:i/>
        </w:rPr>
        <w:t>ρ</w:t>
      </w:r>
      <w:r>
        <w:t xml:space="preserve"> = .16) but substantially below the K-12 estimate of Meyer et al. (2023; </w:t>
      </w:r>
      <w:r>
        <w:rPr>
          <w:i/>
        </w:rPr>
        <w:t>ρ</w:t>
      </w:r>
      <w: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14:paraId="4BD52646" w14:textId="77777777" w:rsidR="006A2C5A" w:rsidRDefault="00000000">
      <w:pPr>
        <w:spacing w:after="0" w:line="480" w:lineRule="auto"/>
        <w:ind w:firstLine="720"/>
      </w:pPr>
      <w:r>
        <w:t xml:space="preserve">Hypothesis 3 (Agreeableness as small positive effect, weaker than FtF). The pooled Agreeableness–achievement correlation was </w:t>
      </w:r>
      <w:r>
        <w:rPr>
          <w:i/>
        </w:rPr>
        <w:t>r</w:t>
      </w:r>
      <w:r>
        <w:t xml:space="preserve"> = .112, slightly larger than the face-to-face benchmark range of .05–.10 (Poropat, 2009; Vedel, 2014; Chen et al., 2025). H3, which </w:t>
      </w:r>
      <w:r>
        <w:lastRenderedPageBreak/>
        <w:t xml:space="preserve">predicted a weaker rather than stronger effect, is therefore not supported. Within the 9-study primary Agreeableness pool, the pooled estimate is driven principally by a single influential Chinese MOOC sample (A-28 Yu, 2021; converted </w:t>
      </w:r>
      <w:r>
        <w:rPr>
          <w:i/>
        </w:rPr>
        <w:t>β</w:t>
      </w:r>
      <w:r>
        <w:t xml:space="preserve"> = .442); leave-one-out analysis confirms that removing Yu drops the pooled </w:t>
      </w:r>
      <w:r>
        <w:rPr>
          <w:i/>
        </w:rPr>
        <w:t>r</w:t>
      </w:r>
      <w:r>
        <w:t xml:space="preserve"> from .112 to .038. Convergent narrative evidence for Agreeableness amplification in East Asian online learners is provided by Wang et al. (2023; </w:t>
      </w:r>
      <w:r>
        <w:rPr>
          <w:i/>
        </w:rPr>
        <w:t>β</w:t>
      </w:r>
      <w:r>
        <w:t xml:space="preserve"> = .112 from Agreeableness to engagement; K-12 sample retained for qualitative synthesis but not in the primary pool) and in Israeli samples by Baruth and Cohen (2023; </w:t>
      </w:r>
      <w:r>
        <w:rPr>
          <w:i/>
        </w:rPr>
        <w:t>ρ</w:t>
      </w:r>
      <w: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i/>
        </w:rPr>
        <w:t>r</w:t>
      </w:r>
      <w:r>
        <w:t xml:space="preserve"> = .330 vs. non-Asia </w:t>
      </w:r>
      <w:r>
        <w:rPr>
          <w:i/>
        </w:rPr>
        <w:t>r</w:t>
      </w:r>
      <w:r>
        <w:t xml:space="preserve"> = .030) was directionally consistent with this interpretation but did not reach statistical significance (</w:t>
      </w:r>
      <w:r>
        <w:rPr>
          <w:i/>
        </w:rPr>
        <w:t>Q_between</w:t>
      </w:r>
      <w:r>
        <w:t xml:space="preserve"> = 2.17, </w:t>
      </w:r>
      <w:r>
        <w:rPr>
          <w:i/>
        </w:rPr>
        <w:t>p</w:t>
      </w:r>
      <w:r>
        <w:t xml:space="preserve"> = .140), owing to the small Asian subsample (</w:t>
      </w:r>
      <w:r>
        <w:rPr>
          <w:i/>
        </w:rPr>
        <w:t>k</w:t>
      </w:r>
      <w:r>
        <w:t xml:space="preserve"> = 2).</w:t>
      </w:r>
    </w:p>
    <w:p w14:paraId="4B2A3261" w14:textId="77777777" w:rsidR="006A2C5A" w:rsidRDefault="00000000">
      <w:pPr>
        <w:spacing w:after="0" w:line="480" w:lineRule="auto"/>
        <w:ind w:firstLine="720"/>
      </w:pPr>
      <w:r>
        <w:t xml:space="preserve">Hypothesis 4 (Neuroticism as negative, more pronounced in fully online). The pooled Neuroticism–achievement correlation was </w:t>
      </w:r>
      <w:r>
        <w:rPr>
          <w:i/>
        </w:rPr>
        <w:t>r</w:t>
      </w:r>
      <w: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i/>
        </w:rPr>
        <w:t>r</w:t>
      </w:r>
      <w:r>
        <w:t xml:space="preserve">) shifted the pooled Neuroticism estimate to </w:t>
      </w:r>
      <w:r>
        <w:rPr>
          <w:i/>
        </w:rPr>
        <w:t>r</w:t>
      </w:r>
      <w:r>
        <w:t xml:space="preserve"> = −.043, providing partial directional support for the H4 sign prediction under the stricter analytic specification. The discrepancy between the primary and sensitivity analyses suggests that Peterson-Brown-converted </w:t>
      </w:r>
      <w:r>
        <w:rPr>
          <w:i/>
        </w:rPr>
        <w:t>β</w:t>
      </w:r>
      <w:r>
        <w:t xml:space="preserve"> studies (principally Yu, 2021 and Kaspar et al., 2023) </w:t>
      </w:r>
      <w:r>
        <w:lastRenderedPageBreak/>
        <w:t xml:space="preserve">systematically attenuate the Neuroticism effect, potentially because these studies control for multiple covariates in the </w:t>
      </w:r>
      <w:r>
        <w:rPr>
          <w:i/>
        </w:rPr>
        <w:t>β</w:t>
      </w:r>
      <w:r>
        <w:t xml:space="preserve"> coefficients, diluting the zero-order Neuroticism-outcome association.</w:t>
      </w:r>
    </w:p>
    <w:p w14:paraId="2CDBA31C" w14:textId="77777777" w:rsidR="006A2C5A" w:rsidRDefault="00000000">
      <w:pPr>
        <w:spacing w:after="0" w:line="480" w:lineRule="auto"/>
        <w:ind w:firstLine="720"/>
      </w:pPr>
      <w:r>
        <w:t xml:space="preserve">Hypothesis 5 (Extraversion as null or weak negative). The pooled Extraversion–achievement correlation was </w:t>
      </w:r>
      <w:r>
        <w:rPr>
          <w:i/>
        </w:rPr>
        <w:t>r</w:t>
      </w:r>
      <w: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i/>
        </w:rPr>
        <w:t>r</w:t>
      </w:r>
      <w:r>
        <w:t xml:space="preserve"> = −.131 (95% CI [−.314, .061]; </w:t>
      </w:r>
      <w:r>
        <w:rPr>
          <w:i/>
        </w:rPr>
        <w:t>Q_between</w:t>
      </w:r>
      <w:r>
        <w:t xml:space="preserve"> = 46.43, </w:t>
      </w:r>
      <w:r>
        <w:rPr>
          <w:i/>
        </w:rPr>
        <w:t>p</w:t>
      </w:r>
      <w:r>
        <w:t xml:space="preserve"> &lt; .001), and in objective achievement outcomes the pooled effect was </w:t>
      </w:r>
      <w:r>
        <w:rPr>
          <w:i/>
        </w:rPr>
        <w:t>r</w:t>
      </w:r>
      <w:r>
        <w:t xml:space="preserve"> = −.038 (</w:t>
      </w:r>
      <w:r>
        <w:rPr>
          <w:i/>
        </w:rPr>
        <w:t>Q_between</w:t>
      </w:r>
      <w:r>
        <w:t xml:space="preserve"> = 17.30, </w:t>
      </w:r>
      <w:r>
        <w:rPr>
          <w:i/>
        </w:rPr>
        <w:t>p</w:t>
      </w:r>
      <w:r>
        <w:t xml:space="preserve"> &lt; .001 against self-rated </w:t>
      </w:r>
      <w:r>
        <w:rPr>
          <w:i/>
        </w:rPr>
        <w:t>r</w:t>
      </w:r>
      <w: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14:paraId="010D23EB" w14:textId="77777777" w:rsidR="006A2C5A" w:rsidRDefault="00000000">
      <w:pPr>
        <w:pStyle w:val="21"/>
        <w:spacing w:line="480" w:lineRule="auto"/>
      </w:pPr>
      <w:r>
        <w:t>Theoretical Implications</w:t>
      </w:r>
    </w:p>
    <w:p w14:paraId="7027B16E" w14:textId="77777777" w:rsidR="006A2C5A" w:rsidRDefault="00000000">
      <w:pPr>
        <w:spacing w:after="0" w:line="480" w:lineRule="auto"/>
        <w:ind w:firstLine="720"/>
      </w:pPr>
      <w:r>
        <w:t>The present findings carry several theoretical implications for the personality-achievement literature. First, the slightly reduced Conscientiousness effect in online environments (</w:t>
      </w:r>
      <w:r>
        <w:rPr>
          <w:i/>
        </w:rPr>
        <w:t>r</w:t>
      </w:r>
      <w:r>
        <w:t xml:space="preserve"> = .167 vs. face-to-face </w:t>
      </w:r>
      <w:r>
        <w:rPr>
          <w:i/>
        </w:rPr>
        <w:t>ρ</w:t>
      </w:r>
      <w:r>
        <w:t xml:space="preserve"> = .19–.28) provides preliminary support for the </w:t>
      </w:r>
      <w:r>
        <w:lastRenderedPageBreak/>
        <w:t xml:space="preserve">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i/>
        </w:rPr>
        <w:t>k</w:t>
      </w:r>
      <w:r>
        <w:t xml:space="preserve"> is warranted before attributing this attenuation exclusively to the PASH mechanism.</w:t>
      </w:r>
    </w:p>
    <w:p w14:paraId="3DCEB89B" w14:textId="77777777" w:rsidR="006A2C5A" w:rsidRDefault="00000000">
      <w:pPr>
        <w:spacing w:after="0" w:line="480" w:lineRule="auto"/>
        <w:ind w:firstLine="720"/>
      </w:pPr>
      <w:r>
        <w:t xml:space="preserve">Second, the null pooled Extraversion effect in online environments, combined with the highly significant region × Extraversion moderator (Asia </w:t>
      </w:r>
      <w:r>
        <w:rPr>
          <w:i/>
        </w:rPr>
        <w:t>r</w:t>
      </w:r>
      <w:r>
        <w:t xml:space="preserve"> = −.131 vs. non-Asia </w:t>
      </w:r>
      <w:r>
        <w:rPr>
          <w:i/>
        </w:rPr>
        <w:t>r</w:t>
      </w:r>
      <w:r>
        <w:t xml:space="preserve"> = .050; </w:t>
      </w:r>
      <w:r>
        <w:rPr>
          <w:i/>
        </w:rPr>
        <w:t>p</w:t>
      </w:r>
      <w:r>
        <w:t xml:space="preserve"> &lt; .001) and outcome-type × Extraversion moderator (objective </w:t>
      </w:r>
      <w:r>
        <w:rPr>
          <w:i/>
        </w:rPr>
        <w:t>r</w:t>
      </w:r>
      <w:r>
        <w:t xml:space="preserve"> = −.038 vs. self-rated </w:t>
      </w:r>
      <w:r>
        <w:rPr>
          <w:i/>
        </w:rPr>
        <w:t>r</w:t>
      </w:r>
      <w:r>
        <w:t xml:space="preserve"> = .117; </w:t>
      </w:r>
      <w:r>
        <w:rPr>
          <w:i/>
        </w:rPr>
        <w:t>p</w:t>
      </w:r>
      <w: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w:t>
      </w:r>
      <w:r>
        <w:lastRenderedPageBreak/>
        <w:t>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14:paraId="3E8CEA0D" w14:textId="77777777" w:rsidR="006A2C5A" w:rsidRDefault="00000000">
      <w:pPr>
        <w:spacing w:after="0" w:line="480" w:lineRule="auto"/>
        <w:ind w:firstLine="720"/>
      </w:pPr>
      <w: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i/>
        </w:rPr>
        <w:t>r</w:t>
      </w:r>
      <w:r>
        <w:t xml:space="preserve"> = .330 vs. non-Asia </w:t>
      </w:r>
      <w:r>
        <w:rPr>
          <w:i/>
        </w:rPr>
        <w:t>r</w:t>
      </w:r>
      <w:r>
        <w:t xml:space="preserve"> = .030) did not reach significance in the present </w:t>
      </w:r>
      <w:r>
        <w:rPr>
          <w:i/>
        </w:rPr>
        <w:t>k</w:t>
      </w:r>
      <w: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14:paraId="3EFBC319" w14:textId="77777777" w:rsidR="006A2C5A" w:rsidRDefault="00000000">
      <w:pPr>
        <w:spacing w:after="0" w:line="480" w:lineRule="auto"/>
        <w:ind w:firstLine="720"/>
      </w:pPr>
      <w:r>
        <w:t xml:space="preserve">Fourth, the era moderator analysis did not reveal significant pre-COVID vs. COVID-era differences for any trait. In particular, Conscientiousness effects were comparable across eras (pre-COVID </w:t>
      </w:r>
      <w:r>
        <w:rPr>
          <w:i/>
        </w:rPr>
        <w:t>r</w:t>
      </w:r>
      <w:r>
        <w:t xml:space="preserve"> = .208 vs. COVID </w:t>
      </w:r>
      <w:r>
        <w:rPr>
          <w:i/>
        </w:rPr>
        <w:t>r</w:t>
      </w:r>
      <w:r>
        <w:t xml:space="preserve"> = .179; </w:t>
      </w:r>
      <w:r>
        <w:rPr>
          <w:i/>
        </w:rPr>
        <w:t>Q_between</w:t>
      </w:r>
      <w:r>
        <w:t xml:space="preserve"> </w:t>
      </w:r>
      <w:r>
        <w:rPr>
          <w:i/>
        </w:rPr>
        <w:t>p</w:t>
      </w:r>
      <w: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w:t>
      </w:r>
      <w:r>
        <w:lastRenderedPageBreak/>
        <w:t>post-COVID era could not be evaluated quantitatively because no post-COVID study contributed correlations to the primary pool (</w:t>
      </w:r>
      <w:r>
        <w:rPr>
          <w:i/>
        </w:rPr>
        <w:t>k</w:t>
      </w:r>
      <w:r>
        <w:t xml:space="preserve"> = 0 in the moderator analysis, with 4 post-COVID studies retained for qualitative synthesis only); future meta-analytic updates should reassess this pattern as the post-COVID primary literature matures.</w:t>
      </w:r>
    </w:p>
    <w:p w14:paraId="5B786FC5" w14:textId="77777777" w:rsidR="006A2C5A" w:rsidRDefault="00000000">
      <w:pPr>
        <w:pStyle w:val="21"/>
        <w:spacing w:line="480" w:lineRule="auto"/>
      </w:pPr>
      <w:r>
        <w:t>Practical Implications</w:t>
      </w:r>
    </w:p>
    <w:p w14:paraId="3664C2AA" w14:textId="77777777" w:rsidR="006A2C5A" w:rsidRDefault="00000000">
      <w:pPr>
        <w:spacing w:after="0" w:line="480" w:lineRule="auto"/>
        <w:ind w:firstLine="720"/>
      </w:pPr>
      <w:r>
        <w:t>Several practical implications follow from the present findings. For online course designers and educational technology developers, the preserved (albeit slightly reduced) role of Conscientiousness (</w:t>
      </w:r>
      <w:r>
        <w:rPr>
          <w:i/>
        </w:rPr>
        <w:t>r</w:t>
      </w:r>
      <w: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14:paraId="528CD563" w14:textId="77777777" w:rsidR="006A2C5A" w:rsidRDefault="00000000">
      <w:pPr>
        <w:spacing w:after="0" w:line="480" w:lineRule="auto"/>
        <w:ind w:firstLine="720"/>
      </w:pPr>
      <w:r>
        <w:t xml:space="preserve">For instructors operating in fully asynchronous contexts in East Asian or other collectivistic settings, the significantly negative Extraversion × Region effect (Asian </w:t>
      </w:r>
      <w:r>
        <w:rPr>
          <w:i/>
        </w:rPr>
        <w:t>r</w:t>
      </w:r>
      <w: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w:t>
      </w:r>
      <w:r>
        <w:lastRenderedPageBreak/>
        <w:t xml:space="preserve">effectiveness, as the Extraversion × Outcome Type moderator (objective </w:t>
      </w:r>
      <w:r>
        <w:rPr>
          <w:i/>
        </w:rPr>
        <w:t>r</w:t>
      </w:r>
      <w:r>
        <w:t xml:space="preserve"> = −.038 vs. self-rated </w:t>
      </w:r>
      <w:r>
        <w:rPr>
          <w:i/>
        </w:rPr>
        <w:t>r</w:t>
      </w:r>
      <w:r>
        <w:t xml:space="preserve"> = .117) indicates that extraverted students may systematically over-rate their own performance in online contexts.</w:t>
      </w:r>
    </w:p>
    <w:p w14:paraId="7FE32ACD" w14:textId="77777777" w:rsidR="006A2C5A" w:rsidRDefault="00000000">
      <w:pPr>
        <w:spacing w:after="0" w:line="480" w:lineRule="auto"/>
        <w:ind w:firstLine="720"/>
      </w:pPr>
      <w:r>
        <w:t>For learners themselves and the academic advisors who support them, the larger-than-expected Agreeableness effect in Asian samples (</w:t>
      </w:r>
      <w:r>
        <w:rPr>
          <w:i/>
        </w:rPr>
        <w:t>r</w:t>
      </w:r>
      <w: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14:paraId="48EDF3A2" w14:textId="77777777" w:rsidR="006A2C5A" w:rsidRDefault="00000000">
      <w:pPr>
        <w:pStyle w:val="21"/>
        <w:spacing w:line="480" w:lineRule="auto"/>
      </w:pPr>
      <w:r>
        <w:t>Strengths of the Present Review</w:t>
      </w:r>
    </w:p>
    <w:p w14:paraId="6BA85CC0" w14:textId="77777777" w:rsidR="006A2C5A" w:rsidRDefault="00000000">
      <w:pPr>
        <w:spacing w:after="0" w:line="480" w:lineRule="auto"/>
        <w:ind w:firstLine="720"/>
      </w:pPr>
      <w: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w:t>
      </w:r>
      <w:r>
        <w:lastRenderedPageBreak/>
        <w:t xml:space="preserve">robustness of findings to effect-size conversion, HEXACO-to-Big-Five mapping, risk-of-bias exclusion, the author's own prior study, small-sample exclusion, leave-one-out influence, and alternative </w:t>
      </w:r>
      <w:r>
        <w:rPr>
          <w:i/>
        </w:rPr>
        <w:t>τ²</w:t>
      </w:r>
      <w:r>
        <w:t xml:space="preserve"> estimators.</w:t>
      </w:r>
    </w:p>
    <w:p w14:paraId="34FB15DB" w14:textId="77777777" w:rsidR="006A2C5A" w:rsidRDefault="00000000">
      <w:pPr>
        <w:pStyle w:val="21"/>
        <w:spacing w:line="480" w:lineRule="auto"/>
      </w:pPr>
      <w:r>
        <w:t>Limitations</w:t>
      </w:r>
    </w:p>
    <w:p w14:paraId="1F823FD0" w14:textId="77777777" w:rsidR="006A2C5A" w:rsidRDefault="00000000">
      <w:pPr>
        <w:spacing w:after="0" w:line="480" w:lineRule="auto"/>
        <w:ind w:firstLine="720"/>
      </w:pPr>
      <w:r>
        <w:t>The review has several limitations that should inform the interpretation of findings. First, the number of primary studies contributing direct Pearson correlations to the pooled achievement analyses (</w:t>
      </w:r>
      <w:r>
        <w:rPr>
          <w:i/>
        </w:rPr>
        <w:t>k</w:t>
      </w:r>
      <w: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i/>
        </w:rPr>
        <w:t>k</w:t>
      </w:r>
      <w:r>
        <w:t xml:space="preserve"> per moderator level was below the recommended threshold for several moderators, necessitating narrative rather than quantitative reporting for those analyses.</w:t>
      </w:r>
    </w:p>
    <w:p w14:paraId="62D6CC74" w14:textId="77777777" w:rsidR="006A2C5A" w:rsidRDefault="00000000">
      <w:pPr>
        <w:spacing w:after="0" w:line="480" w:lineRule="auto"/>
        <w:ind w:firstLine="720"/>
      </w:pPr>
      <w: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14:paraId="656E5954" w14:textId="77777777" w:rsidR="006A2C5A" w:rsidRDefault="00000000">
      <w:pPr>
        <w:spacing w:after="0" w:line="480" w:lineRule="auto"/>
        <w:ind w:firstLine="720"/>
      </w:pPr>
      <w: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w:t>
      </w:r>
      <w:r>
        <w:lastRenderedPageBreak/>
        <w:t xml:space="preserve">≥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i/>
        </w:rPr>
        <w:t>I²</w:t>
      </w:r>
      <w:r>
        <w:t xml:space="preserve"> values.</w:t>
      </w:r>
    </w:p>
    <w:p w14:paraId="5565C787" w14:textId="77777777" w:rsidR="006A2C5A" w:rsidRDefault="00000000">
      <w:pPr>
        <w:spacing w:after="0" w:line="480" w:lineRule="auto"/>
        <w:ind w:firstLine="720"/>
      </w:pPr>
      <w: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14:paraId="3CA461FB" w14:textId="77777777" w:rsidR="006A2C5A" w:rsidRDefault="00000000">
      <w:pPr>
        <w:pStyle w:val="21"/>
        <w:spacing w:line="480" w:lineRule="auto"/>
      </w:pPr>
      <w:r>
        <w:t>Future Research Directions</w:t>
      </w:r>
    </w:p>
    <w:p w14:paraId="094FAF28" w14:textId="77777777" w:rsidR="006A2C5A" w:rsidRDefault="00000000">
      <w:pPr>
        <w:spacing w:after="0" w:line="480" w:lineRule="auto"/>
        <w:ind w:firstLine="720"/>
      </w:pPr>
      <w:r>
        <w:t xml:space="preserve">Several directions for future research emerge from the present findings. First, the documented Extraversion × modality interaction should be directly tested in primary research using within-subject or matched-design protocols that compare the same learners across </w:t>
      </w:r>
      <w:r>
        <w:lastRenderedPageBreak/>
        <w:t>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14:paraId="50FF4442" w14:textId="77777777" w:rsidR="006A2C5A" w:rsidRDefault="00000000">
      <w:pPr>
        <w:pStyle w:val="1"/>
        <w:spacing w:line="480" w:lineRule="auto"/>
      </w:pPr>
      <w:r>
        <w:t>Conclusion</w:t>
      </w:r>
    </w:p>
    <w:p w14:paraId="6BEA70B0" w14:textId="77777777" w:rsidR="006A2C5A" w:rsidRDefault="00000000">
      <w:pPr>
        <w:spacing w:after="0" w:line="480" w:lineRule="auto"/>
        <w:ind w:firstLine="720"/>
      </w:pPr>
      <w: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i/>
        </w:rPr>
        <w:t>r</w:t>
      </w:r>
      <w:r>
        <w:t xml:space="preserve"> = .167) but at somewhat reduced magnitude compared to traditional classroom benchmarks; Extraversion was null on average (</w:t>
      </w:r>
      <w:r>
        <w:rPr>
          <w:i/>
        </w:rPr>
        <w:t>r</w:t>
      </w:r>
      <w: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w:t>
      </w:r>
      <w:r>
        <w:lastRenderedPageBreak/>
        <w:t>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14:paraId="1BF2128A" w14:textId="77777777" w:rsidR="006A2C5A" w:rsidRDefault="00000000">
      <w:r>
        <w:br w:type="page"/>
      </w:r>
    </w:p>
    <w:p w14:paraId="30BE02B0" w14:textId="77777777" w:rsidR="006A2C5A" w:rsidRDefault="00000000">
      <w:pPr>
        <w:pStyle w:val="1"/>
        <w:spacing w:line="480" w:lineRule="auto"/>
      </w:pPr>
      <w:r>
        <w:rPr>
          <w:rFonts w:ascii="Times New Roman" w:eastAsia="Times New Roman" w:hAnsi="Times New Roman"/>
        </w:rPr>
        <w:lastRenderedPageBreak/>
        <w:t>References</w:t>
      </w:r>
    </w:p>
    <w:p w14:paraId="0479E984" w14:textId="77777777" w:rsidR="006A2C5A" w:rsidRDefault="00000000">
      <w:pPr>
        <w:spacing w:after="0" w:line="480" w:lineRule="auto"/>
        <w:ind w:left="720" w:hanging="720"/>
      </w:pPr>
      <w:r>
        <w:t xml:space="preserve">Abe, J. A. A. (2020). Big five, linguistic styles, and successful online learning. </w:t>
      </w:r>
      <w:r>
        <w:rPr>
          <w:i/>
        </w:rPr>
        <w:t>The Internet and Higher Education, 45</w:t>
      </w:r>
      <w:r>
        <w:t>, 100724. https://doi.org/10.1016/j.iheduc.2019.100724</w:t>
      </w:r>
    </w:p>
    <w:p w14:paraId="54001CAE" w14:textId="77777777" w:rsidR="006A2C5A" w:rsidRDefault="00000000">
      <w:pPr>
        <w:spacing w:after="0" w:line="480" w:lineRule="auto"/>
        <w:ind w:left="720" w:hanging="720"/>
      </w:pPr>
      <w:r>
        <w:t xml:space="preserve">Alkış, </w:t>
      </w:r>
      <w:r>
        <w:rPr>
          <w:i/>
        </w:rPr>
        <w:t>N</w:t>
      </w:r>
      <w:r>
        <w:t>., &amp; Taşkaya Temizel, T. (2018). The impact of motivation and personality on academic performance in online and blended learning environments. Educational Technology &amp; Society, 21(3), 35–47.</w:t>
      </w:r>
    </w:p>
    <w:p w14:paraId="2359341A" w14:textId="77777777" w:rsidR="006A2C5A" w:rsidRDefault="00000000">
      <w:pPr>
        <w:spacing w:after="0" w:line="480" w:lineRule="auto"/>
        <w:ind w:left="720" w:hanging="720"/>
      </w:pPr>
      <w:r>
        <w:t xml:space="preserve">Ashton, </w:t>
      </w:r>
      <w:r>
        <w:rPr>
          <w:i/>
        </w:rPr>
        <w:t>M</w:t>
      </w:r>
      <w:r>
        <w:t>. C., &amp; Lee, K. (2007). Empirical, theoretical, and practical advantages of the HEXACO model of personality structure. Personality and Social Psychology Review, 11(2), 150–166. https://doi.org/10.1177/1088868306294907</w:t>
      </w:r>
    </w:p>
    <w:p w14:paraId="30308AB6" w14:textId="77777777" w:rsidR="006A2C5A" w:rsidRDefault="00000000">
      <w:pPr>
        <w:spacing w:after="0" w:line="480" w:lineRule="auto"/>
        <w:ind w:left="720" w:hanging="720"/>
      </w:pPr>
      <w:r>
        <w:t xml:space="preserve">Audet, É. C., Levine, S. L., Metin, E., Koestner, S., &amp; Barcan, S. (2021). Zooming their way through university: Which Big 5 traits facilitated students' adjustment to online courses during the COVID-19 pandemic. </w:t>
      </w:r>
      <w:r>
        <w:rPr>
          <w:i/>
        </w:rPr>
        <w:t>Personality and Individual Differences, 180</w:t>
      </w:r>
      <w:r>
        <w:t>, 110969. https://doi.org/10.1016/j.paid.2021.110969</w:t>
      </w:r>
    </w:p>
    <w:p w14:paraId="5146239C" w14:textId="77777777" w:rsidR="006A2C5A" w:rsidRDefault="00000000">
      <w:pPr>
        <w:spacing w:after="0" w:line="480" w:lineRule="auto"/>
        <w:ind w:left="720" w:hanging="720"/>
      </w:pPr>
      <w:r>
        <w:t xml:space="preserve">Audet, É. C., Levine, S. L., Dubois, P., Koestner, S., &amp; Koestner, R. (2023). The unanticipated virtual year: How the Big 5 personality traits of openness to experience and conscientiousness impacted engagement in online classes during the COVID-19 crisis. </w:t>
      </w:r>
      <w:r>
        <w:rPr>
          <w:i/>
        </w:rPr>
        <w:t>Journal of College Reading and Learning, 53</w:t>
      </w:r>
      <w:r>
        <w:t>(4), 298–315. https://doi.org/10.1080/10790195.2023.2250402</w:t>
      </w:r>
    </w:p>
    <w:p w14:paraId="0AD0FA0E" w14:textId="77777777" w:rsidR="006A2C5A" w:rsidRDefault="00000000">
      <w:pPr>
        <w:spacing w:after="0" w:line="480" w:lineRule="auto"/>
        <w:ind w:left="720" w:hanging="720"/>
      </w:pPr>
      <w:r>
        <w:t xml:space="preserve">Bahçekapılı, E., &amp; Karaman, S. (2020). A path analysis of five-factor personality traits, self-efficacy, academic locus of control and academic achievement among online students. </w:t>
      </w:r>
      <w:r>
        <w:rPr>
          <w:i/>
        </w:rPr>
        <w:t>Knowledge Management &amp; E-Learning, 12</w:t>
      </w:r>
      <w:r>
        <w:t>(2), 191–208. https://doi.org/10.34105/j.kmel.2020.12.010</w:t>
      </w:r>
    </w:p>
    <w:p w14:paraId="0E15B186" w14:textId="77777777" w:rsidR="006A2C5A" w:rsidRDefault="00000000">
      <w:pPr>
        <w:spacing w:after="0" w:line="480" w:lineRule="auto"/>
        <w:ind w:left="720" w:hanging="720"/>
      </w:pPr>
      <w:r>
        <w:lastRenderedPageBreak/>
        <w:t xml:space="preserve">Baruth, O., &amp; Cohen, A. (2023). Personality and satisfaction with online courses: The relation between the Big Five personality traits and satisfaction with online learning activities. </w:t>
      </w:r>
      <w:r>
        <w:rPr>
          <w:i/>
        </w:rPr>
        <w:t>Education and Information Technologies, 28</w:t>
      </w:r>
      <w:r>
        <w:t>, 879–904. https://doi.org/10.1007/s10639-022-11199-x</w:t>
      </w:r>
    </w:p>
    <w:p w14:paraId="71480B43" w14:textId="77777777" w:rsidR="006A2C5A" w:rsidRDefault="00000000">
      <w:pPr>
        <w:spacing w:after="0" w:line="480" w:lineRule="auto"/>
        <w:ind w:left="720" w:hanging="720"/>
      </w:pPr>
      <w:r>
        <w:t xml:space="preserve">Bhattacharjee, R. R., &amp; Ramkumar, A. (2025). Effect of big five personality dimensions on the academic performance of college students. </w:t>
      </w:r>
      <w:r>
        <w:rPr>
          <w:i/>
        </w:rPr>
        <w:t>Frontiers in Psychology, 16</w:t>
      </w:r>
      <w:r>
        <w:t>, 1490427. https://doi.org/10.3389/fpsyg.2025.1490427</w:t>
      </w:r>
    </w:p>
    <w:p w14:paraId="73E50245" w14:textId="77777777" w:rsidR="006A2C5A" w:rsidRDefault="00000000">
      <w:pPr>
        <w:spacing w:after="0" w:line="480" w:lineRule="auto"/>
        <w:ind w:left="720" w:hanging="720"/>
      </w:pPr>
      <w:r>
        <w:t xml:space="preserve">Boonyapison, K., Sittironnarit, G., &amp; Rattanaumpawan, P. (2025). Association between the big five personalities and academic performance among grade 12 students at international high school in Thailand. </w:t>
      </w:r>
      <w:r>
        <w:rPr>
          <w:i/>
        </w:rPr>
        <w:t>Scientific Reports, 15</w:t>
      </w:r>
      <w:r>
        <w:t>, 16484. https://doi.org/10.1038/s41598-025-01038-7</w:t>
      </w:r>
    </w:p>
    <w:p w14:paraId="339517DD" w14:textId="77777777" w:rsidR="006A2C5A" w:rsidRDefault="00000000">
      <w:pPr>
        <w:spacing w:after="0" w:line="480" w:lineRule="auto"/>
        <w:ind w:left="720" w:hanging="720"/>
      </w:pPr>
      <w:r>
        <w:t xml:space="preserve">Borenstein, </w:t>
      </w:r>
      <w:r>
        <w:rPr>
          <w:i/>
        </w:rPr>
        <w:t>M</w:t>
      </w:r>
      <w:r>
        <w:t>., Hedges, L. V., Higgins, J. P. T., &amp; Rothstein, H. R. (2009). Introduction to meta-analysis. John Wiley &amp; Sons.</w:t>
      </w:r>
    </w:p>
    <w:p w14:paraId="79C14A6E" w14:textId="77777777" w:rsidR="006A2C5A" w:rsidRDefault="00000000">
      <w:pPr>
        <w:spacing w:after="0" w:line="480" w:lineRule="auto"/>
        <w:ind w:left="720" w:hanging="720"/>
      </w:pPr>
      <w:r>
        <w:t xml:space="preserve">Borenstein, </w:t>
      </w:r>
      <w:r>
        <w:rPr>
          <w:i/>
        </w:rPr>
        <w:t>M</w:t>
      </w:r>
      <w:r>
        <w:t>., Hedges, L. V., Higgins, J. P. T., &amp; Rothstein, H. R. (2021). Introduction to meta-analysis (2nd ed.). John Wiley &amp; Sons.</w:t>
      </w:r>
    </w:p>
    <w:p w14:paraId="0751534D" w14:textId="77777777" w:rsidR="006A2C5A" w:rsidRDefault="00000000">
      <w:pPr>
        <w:spacing w:after="0" w:line="480" w:lineRule="auto"/>
        <w:ind w:left="720" w:hanging="720"/>
      </w:pPr>
      <w:r>
        <w:t xml:space="preserve">Broadbent, J., &amp; Poon, W. L. (2015). Self-regulated learning strategies &amp; academic achievement in online higher education learning environments: A systematic review. </w:t>
      </w:r>
      <w:r>
        <w:rPr>
          <w:i/>
        </w:rPr>
        <w:t>The Internet and Higher Education, 27</w:t>
      </w:r>
      <w:r>
        <w:t>, 1–13. https://doi.org/10.1016/j.iheduc.2015.04.007</w:t>
      </w:r>
    </w:p>
    <w:p w14:paraId="55F575D5" w14:textId="77777777" w:rsidR="006A2C5A" w:rsidRDefault="00000000">
      <w:pPr>
        <w:spacing w:after="0" w:line="480" w:lineRule="auto"/>
        <w:ind w:left="720" w:hanging="720"/>
      </w:pPr>
      <w:r>
        <w:t xml:space="preserve">Chen, S., Cheung, A. C. K., &amp; Zeng, Z. (2025). Big Five personality traits and university students' academic performance: A meta-analysis. </w:t>
      </w:r>
      <w:r>
        <w:rPr>
          <w:i/>
        </w:rPr>
        <w:t>Personality and Individual Differences, 240</w:t>
      </w:r>
      <w:r>
        <w:t>, 113163. https://doi.org/10.1016/j.paid.2025.113163</w:t>
      </w:r>
    </w:p>
    <w:p w14:paraId="44B64372" w14:textId="77777777" w:rsidR="006A2C5A" w:rsidRDefault="00000000">
      <w:pPr>
        <w:spacing w:after="0" w:line="480" w:lineRule="auto"/>
        <w:ind w:left="720" w:hanging="720"/>
      </w:pPr>
      <w:r>
        <w:t xml:space="preserve">Cheng, S.-L., Chang, J.-C., Quilantan-Garza, K., &amp; Gutierrez, </w:t>
      </w:r>
      <w:r>
        <w:rPr>
          <w:i/>
        </w:rPr>
        <w:t>M</w:t>
      </w:r>
      <w:r>
        <w:t xml:space="preserve">. L. (2023). Conscientiousness, prior experience, achievement emotions and academic procrastination in online learning </w:t>
      </w:r>
      <w:r>
        <w:lastRenderedPageBreak/>
        <w:t>environments. British Journal of Educational Technology, 54(4), 898–923. https://doi.org/10.1111/bjet.13302</w:t>
      </w:r>
    </w:p>
    <w:p w14:paraId="1F4648CE" w14:textId="77777777" w:rsidR="006A2C5A" w:rsidRDefault="00000000">
      <w:pPr>
        <w:spacing w:after="0" w:line="480" w:lineRule="auto"/>
        <w:ind w:left="720" w:hanging="720"/>
      </w:pPr>
      <w:r>
        <w:t xml:space="preserve">Cohen, A., &amp; Baruth, O. (2017). Personality, learning, and satisfaction in fully online academic courses. </w:t>
      </w:r>
      <w:r>
        <w:rPr>
          <w:i/>
        </w:rPr>
        <w:t>Computers in Human Behavior, 72</w:t>
      </w:r>
      <w:r>
        <w:t>, 1–12. https://doi.org/10.1016/j.chb.2017.02.030</w:t>
      </w:r>
    </w:p>
    <w:p w14:paraId="6663B8E3" w14:textId="77777777" w:rsidR="006A2C5A" w:rsidRDefault="00000000">
      <w:pPr>
        <w:spacing w:after="0" w:line="480" w:lineRule="auto"/>
        <w:ind w:left="720" w:hanging="720"/>
      </w:pPr>
      <w:r>
        <w:t xml:space="preserve">Duval, S., &amp; Tweedie, R. (2000). Trim and fill: A simple funnel-plot-based method of testing and adjusting for publication bias in meta-analysis. </w:t>
      </w:r>
      <w:r>
        <w:rPr>
          <w:i/>
        </w:rPr>
        <w:t>Biometrics, 56</w:t>
      </w:r>
      <w:r>
        <w:t>(2), 455–463. https://doi.org/10.1111/j.0006-341x.2000.00455.x</w:t>
      </w:r>
    </w:p>
    <w:p w14:paraId="1AB8C332" w14:textId="77777777" w:rsidR="006A2C5A" w:rsidRDefault="00000000">
      <w:pPr>
        <w:spacing w:after="0" w:line="480" w:lineRule="auto"/>
        <w:ind w:left="720" w:hanging="720"/>
      </w:pPr>
      <w:r>
        <w:t xml:space="preserve">Egger, </w:t>
      </w:r>
      <w:r>
        <w:rPr>
          <w:i/>
        </w:rPr>
        <w:t>M</w:t>
      </w:r>
      <w:r>
        <w:t xml:space="preserve">., Davey Smith, G., Schneider, </w:t>
      </w:r>
      <w:r>
        <w:rPr>
          <w:i/>
        </w:rPr>
        <w:t>M</w:t>
      </w:r>
      <w:r>
        <w:t>., &amp; Minder, C. (1997). Bias in meta-analysis detected by a simple, graphical test. BMJ, 315(7109), 629–634. https://doi.org/10.1136/bmj.315.7109.629</w:t>
      </w:r>
    </w:p>
    <w:p w14:paraId="3D2509C4" w14:textId="77777777" w:rsidR="006A2C5A" w:rsidRDefault="00000000">
      <w:pPr>
        <w:spacing w:after="0" w:line="480" w:lineRule="auto"/>
        <w:ind w:left="720" w:hanging="720"/>
      </w:pPr>
      <w:r>
        <w:t xml:space="preserve">Eilam, B., Zeidner, </w:t>
      </w:r>
      <w:r>
        <w:rPr>
          <w:i/>
        </w:rPr>
        <w:t>M</w:t>
      </w:r>
      <w:r>
        <w:t>., &amp; Aharon, I. (2009). Student conscientiousness, self-regulated learning, and science achievement: An explorative field study. Psychology in the Schools, 46(5), 420–432. https://doi.org/10.1002/pits.20387</w:t>
      </w:r>
    </w:p>
    <w:p w14:paraId="50F46B4F" w14:textId="77777777" w:rsidR="006A2C5A" w:rsidRDefault="00000000">
      <w:pPr>
        <w:spacing w:after="0" w:line="480" w:lineRule="auto"/>
        <w:ind w:left="720" w:hanging="720"/>
      </w:pPr>
      <w:r>
        <w:t xml:space="preserve">Elvers, G. C., Polzella, D. J., &amp; Graetz, K. (2003). Procrastination in online courses: Performance and attitudinal differences. </w:t>
      </w:r>
      <w:r>
        <w:rPr>
          <w:i/>
        </w:rPr>
        <w:t>Teaching of Psychology, 30</w:t>
      </w:r>
      <w:r>
        <w:t>(2), 159–162. https://doi.org/10.1207/S15328023TOP3002_13</w:t>
      </w:r>
    </w:p>
    <w:p w14:paraId="4BC59E00" w14:textId="77777777" w:rsidR="006A2C5A" w:rsidRDefault="00000000">
      <w:pPr>
        <w:spacing w:after="0" w:line="480" w:lineRule="auto"/>
        <w:ind w:left="720" w:hanging="720"/>
      </w:pPr>
      <w:r>
        <w:t xml:space="preserve">Gignac, G. E., &amp; Szodorai, E. T. (2016). Effect size guidelines for individual differences researchers. </w:t>
      </w:r>
      <w:r>
        <w:rPr>
          <w:i/>
        </w:rPr>
        <w:t>Personality and Individual Differences, 102</w:t>
      </w:r>
      <w:r>
        <w:t>, 74–78. https://doi.org/10.1016/j.paid.2016.06.069</w:t>
      </w:r>
    </w:p>
    <w:p w14:paraId="774B39D7" w14:textId="77777777" w:rsidR="006A2C5A" w:rsidRDefault="00000000">
      <w:pPr>
        <w:spacing w:after="0" w:line="480" w:lineRule="auto"/>
        <w:ind w:left="720" w:hanging="720"/>
      </w:pPr>
      <w:r>
        <w:t xml:space="preserve">Harrer, </w:t>
      </w:r>
      <w:r>
        <w:rPr>
          <w:i/>
        </w:rPr>
        <w:t>M</w:t>
      </w:r>
      <w:r>
        <w:t>., Cuijpers, P., Furukawa, T. A., &amp; Ebert, D. D. (2021). Doing meta-analysis with R: A hands-on guide. Chapman &amp; Hall/CRC Press.</w:t>
      </w:r>
    </w:p>
    <w:p w14:paraId="1BF6F720" w14:textId="77777777" w:rsidR="006A2C5A" w:rsidRDefault="00000000">
      <w:pPr>
        <w:spacing w:after="0" w:line="480" w:lineRule="auto"/>
        <w:ind w:left="720" w:hanging="720"/>
      </w:pPr>
      <w:r>
        <w:lastRenderedPageBreak/>
        <w:t xml:space="preserve">Hidalgo-Fuentes, S., Martínez-Álvarez, I., Llamas-Salguero, </w:t>
      </w:r>
      <w:r>
        <w:rPr>
          <w:i/>
        </w:rPr>
        <w:t>F</w:t>
      </w:r>
      <w:r>
        <w:t xml:space="preserve">., Pineda-Zelaya, I. S., Merino-Soto, C., &amp; Chans, G. </w:t>
      </w:r>
      <w:r>
        <w:rPr>
          <w:i/>
        </w:rPr>
        <w:t>M</w:t>
      </w:r>
      <w:r>
        <w:t>. (2024). The role of big five traits and self-esteem on academic procrastination in Honduran and Spanish university students: A cross-cultural study. Heliyon, 10(17), e36172. https://doi.org/10.1016/j.heliyon.2024.e36172</w:t>
      </w:r>
    </w:p>
    <w:p w14:paraId="6C735094" w14:textId="77777777" w:rsidR="006A2C5A" w:rsidRDefault="00000000">
      <w:pPr>
        <w:spacing w:after="0" w:line="480" w:lineRule="auto"/>
        <w:ind w:left="720" w:hanging="720"/>
      </w:pPr>
      <w:r>
        <w:t xml:space="preserve">Hunter, E. G., Niblock, J., Barefoot, S., Miller, J., Hughes, J., Kite, L., &amp; Scarletto, E. (2025). The influence of student personality traits on satisfaction and success in online education in higher education: A systematic review. </w:t>
      </w:r>
      <w:r>
        <w:rPr>
          <w:i/>
        </w:rPr>
        <w:t>Journal of Occupational Therapy Education, 9</w:t>
      </w:r>
      <w:r>
        <w:t>(2), Article 9. https://doi.org/10.26681/jote.2025.090209</w:t>
      </w:r>
    </w:p>
    <w:p w14:paraId="1EE72252" w14:textId="77777777" w:rsidR="006A2C5A" w:rsidRDefault="00000000">
      <w:pPr>
        <w:spacing w:after="0" w:line="480" w:lineRule="auto"/>
        <w:ind w:left="720" w:hanging="720"/>
      </w:pPr>
      <w:r>
        <w:t xml:space="preserve">IntHout, J., Ioannidis, J. P. A., &amp; Borm, G. </w:t>
      </w:r>
      <w:r>
        <w:rPr>
          <w:i/>
        </w:rPr>
        <w:t>F</w:t>
      </w:r>
      <w:r>
        <w:t>. (2014). The Hartung-Knapp-Sidik-Jonkman method for random effects meta-analysis is straightforward and considerably outperforms the standard DerSimonian-Laird method. BMC Medical Research Methodology, 14, 25. https://doi.org/10.1186/1471-2288-14-25</w:t>
      </w:r>
    </w:p>
    <w:p w14:paraId="241C74A4" w14:textId="77777777" w:rsidR="006A2C5A" w:rsidRDefault="00000000">
      <w:pPr>
        <w:spacing w:after="0" w:line="480" w:lineRule="auto"/>
        <w:ind w:left="720" w:hanging="720"/>
      </w:pPr>
      <w:r>
        <w:t xml:space="preserve">Kaspar, K., Burtniak, K., &amp; Rüth, </w:t>
      </w:r>
      <w:r>
        <w:rPr>
          <w:i/>
        </w:rPr>
        <w:t>M</w:t>
      </w:r>
      <w:r>
        <w:t>. (2023). Online learning during the Covid-19 pandemic: How university students' perceptions, engagement, and performance are related to their personal characteristics. Current Psychology. Advance online publication. https://doi.org/10.1007/s12144-023-04403-9</w:t>
      </w:r>
    </w:p>
    <w:p w14:paraId="72B36AAD" w14:textId="77777777" w:rsidR="006A2C5A" w:rsidRDefault="00000000">
      <w:pPr>
        <w:spacing w:after="0" w:line="480" w:lineRule="auto"/>
        <w:ind w:left="720" w:hanging="720"/>
      </w:pPr>
      <w:r>
        <w:t xml:space="preserve">MacLean, K. A. (2022). </w:t>
      </w:r>
      <w:r>
        <w:rPr>
          <w:i/>
        </w:rPr>
        <w:t>Endorsed, or just enforced? Personality and preferences for online learning during COVID-19</w:t>
      </w:r>
      <w:r>
        <w:t xml:space="preserve"> [Master's thesis, University of Calgary]. PRISM Repository.</w:t>
      </w:r>
    </w:p>
    <w:p w14:paraId="68106A67" w14:textId="77777777" w:rsidR="006A2C5A" w:rsidRDefault="00000000">
      <w:pPr>
        <w:spacing w:after="0" w:line="480" w:lineRule="auto"/>
        <w:ind w:left="720" w:hanging="720"/>
      </w:pPr>
      <w:r>
        <w:t xml:space="preserve">Mammadov, S. (2022). Big Five personality traits and academic performance: A meta-analysis. </w:t>
      </w:r>
      <w:r>
        <w:rPr>
          <w:i/>
        </w:rPr>
        <w:t>Journal of Personality, 90</w:t>
      </w:r>
      <w:r>
        <w:t>(2), 222–255. https://doi.org/10.1111/jopy.12663</w:t>
      </w:r>
    </w:p>
    <w:p w14:paraId="58CEDF7D" w14:textId="77777777" w:rsidR="006A2C5A" w:rsidRDefault="00000000">
      <w:pPr>
        <w:spacing w:after="0" w:line="480" w:lineRule="auto"/>
        <w:ind w:left="720" w:hanging="720"/>
      </w:pPr>
      <w:r>
        <w:t xml:space="preserve">McAbee, S. T., &amp; Oswald, </w:t>
      </w:r>
      <w:r>
        <w:rPr>
          <w:i/>
        </w:rPr>
        <w:t>F</w:t>
      </w:r>
      <w:r>
        <w:t>. L. (2013). The criterion-related validity of personality measures for predicting GPA: A meta-analytic validity competition. Psychological Assessment, 25(2), 532–544. https://doi.org/10.1037/a0031748</w:t>
      </w:r>
    </w:p>
    <w:p w14:paraId="136091BC" w14:textId="77777777" w:rsidR="006A2C5A" w:rsidRDefault="00000000">
      <w:pPr>
        <w:spacing w:after="0" w:line="480" w:lineRule="auto"/>
        <w:ind w:left="720" w:hanging="720"/>
      </w:pPr>
      <w:r>
        <w:lastRenderedPageBreak/>
        <w:t xml:space="preserve">Meyer, J., Jansen, T., Hübner, </w:t>
      </w:r>
      <w:r>
        <w:rPr>
          <w:i/>
        </w:rPr>
        <w:t>N</w:t>
      </w:r>
      <w: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14:paraId="7AC38C2C" w14:textId="77777777" w:rsidR="006A2C5A" w:rsidRDefault="00000000">
      <w:pPr>
        <w:spacing w:after="0" w:line="480" w:lineRule="auto"/>
        <w:ind w:left="720" w:hanging="720"/>
      </w:pPr>
      <w:r>
        <w:t xml:space="preserve">Moher, D., Shamseer, L., Clarke, </w:t>
      </w:r>
      <w:r>
        <w:rPr>
          <w:i/>
        </w:rPr>
        <w:t>M</w:t>
      </w:r>
      <w:r>
        <w:t xml:space="preserve">., Ghersi, D., Liberati, A., Petticrew, </w:t>
      </w:r>
      <w:r>
        <w:rPr>
          <w:i/>
        </w:rPr>
        <w:t>M</w:t>
      </w:r>
      <w:r>
        <w:t>., Shekelle, P., Stewart, L. A., &amp; PRISMA-P Group. (2015). Preferred reporting items for systematic review and meta-analysis protocols (PRISMA-P) 2015 statement. Systematic Reviews, 4(1), 1. https://doi.org/10.1186/2046-4053-4-1</w:t>
      </w:r>
    </w:p>
    <w:p w14:paraId="3AE55AA3" w14:textId="77777777" w:rsidR="006A2C5A" w:rsidRDefault="00000000">
      <w:pPr>
        <w:spacing w:after="0" w:line="480" w:lineRule="auto"/>
        <w:ind w:left="720" w:hanging="720"/>
      </w:pPr>
      <w:r>
        <w:t xml:space="preserve">Moola, S., Munn, Z., Tufanaru, C., Aromataris, E., Sears, K., Sfetcu, R., Currie, </w:t>
      </w:r>
      <w:r>
        <w:rPr>
          <w:i/>
        </w:rPr>
        <w:t>M</w:t>
      </w:r>
      <w:r>
        <w:t>., Qureshi, R., Mattis, P., Lisy, K., &amp; Mu, P.-F. (2017). Chapter 7: Systematic reviews of etiology and risk. In E. Aromataris &amp; Z. Munn (Eds.), Joanna Briggs Institute Reviewer's Manual. The Joanna Briggs Institute.</w:t>
      </w:r>
    </w:p>
    <w:p w14:paraId="0BD2F35D" w14:textId="77777777" w:rsidR="006A2C5A" w:rsidRDefault="00000000">
      <w:pPr>
        <w:spacing w:after="0" w:line="480" w:lineRule="auto"/>
        <w:ind w:left="720" w:hanging="720"/>
      </w:pPr>
      <w:r>
        <w:t xml:space="preserve">Mustafa, S., Qiao, Y., Yan, X., Anwar, A., Hao, T., &amp; Rana, S. (2022). Digital students' satisfaction with and intention to use online teaching modes, role of Big Five personality traits. </w:t>
      </w:r>
      <w:r>
        <w:rPr>
          <w:i/>
        </w:rPr>
        <w:t>Frontiers in Psychology, 13</w:t>
      </w:r>
      <w:r>
        <w:t>, 956281. https://doi.org/10.3389/fpsyg.2022.956281</w:t>
      </w:r>
    </w:p>
    <w:p w14:paraId="36CEE996" w14:textId="77777777" w:rsidR="006A2C5A" w:rsidRDefault="00000000">
      <w:pPr>
        <w:spacing w:after="0" w:line="480" w:lineRule="auto"/>
        <w:ind w:left="720" w:hanging="720"/>
      </w:pPr>
      <w:r>
        <w:t xml:space="preserve">Page, </w:t>
      </w:r>
      <w:r>
        <w:rPr>
          <w:i/>
        </w:rPr>
        <w:t>M</w:t>
      </w:r>
      <w:r>
        <w:t xml:space="preserve">. J., McKenzie, J. E., Bossuyt, P. </w:t>
      </w:r>
      <w:r>
        <w:rPr>
          <w:i/>
        </w:rPr>
        <w:t>M</w:t>
      </w:r>
      <w:r>
        <w:t xml:space="preserve">., Boutron, I., Hoffmann, T. C., Mulrow, C. D., Shamseer, L., Tetzlaff, J. </w:t>
      </w:r>
      <w:r>
        <w:rPr>
          <w:i/>
        </w:rPr>
        <w:t>M</w:t>
      </w:r>
      <w:r>
        <w:t xml:space="preserve">., Akl, E. A., Brennan, S. E., Chou, R., Glanville, J., Grimshaw, J. </w:t>
      </w:r>
      <w:r>
        <w:rPr>
          <w:i/>
        </w:rPr>
        <w:t>M</w:t>
      </w:r>
      <w:r>
        <w:t xml:space="preserve">., Hróbjartsson, A., Lalu, </w:t>
      </w:r>
      <w:r>
        <w:rPr>
          <w:i/>
        </w:rPr>
        <w:t>M</w:t>
      </w:r>
      <w:r>
        <w:t xml:space="preserve">. </w:t>
      </w:r>
      <w:r>
        <w:rPr>
          <w:i/>
        </w:rPr>
        <w:t>M</w:t>
      </w:r>
      <w:r>
        <w:t>., Li, T., Loder, E. W., Mayo-Wilson, E., McDonald, S., … Moher, D. (2021). The PRISMA 2020 statement: An updated guideline for reporting systematic reviews. BMJ, 372, n71. https://doi.org/10.1136/bmj.n71</w:t>
      </w:r>
    </w:p>
    <w:p w14:paraId="3AE3FF2D" w14:textId="77777777" w:rsidR="006A2C5A" w:rsidRDefault="00000000">
      <w:pPr>
        <w:spacing w:after="0" w:line="480" w:lineRule="auto"/>
        <w:ind w:left="720" w:hanging="720"/>
      </w:pPr>
      <w:r>
        <w:t xml:space="preserve">Paulhus, D. L. (1998). Interpersonal and intrapsychic adaptiveness of trait self-enhancement: A mixed blessing? </w:t>
      </w:r>
      <w:r>
        <w:rPr>
          <w:i/>
        </w:rPr>
        <w:t>Journal of Personality and Social Psychology, 74</w:t>
      </w:r>
      <w:r>
        <w:t>(5), 1197–1208. https://doi.org/10.1037/0022-3514.74.5.1197</w:t>
      </w:r>
    </w:p>
    <w:p w14:paraId="57C13976" w14:textId="77777777" w:rsidR="006A2C5A" w:rsidRDefault="00000000">
      <w:pPr>
        <w:spacing w:after="0" w:line="480" w:lineRule="auto"/>
        <w:ind w:left="720" w:hanging="720"/>
      </w:pPr>
      <w:r>
        <w:lastRenderedPageBreak/>
        <w:t xml:space="preserve">Peterson, R. A., &amp; Brown, S. P. (2005). On the use of beta coefficients in meta-analysis. </w:t>
      </w:r>
      <w:r>
        <w:rPr>
          <w:i/>
        </w:rPr>
        <w:t>Journal of Applied Psychology, 90</w:t>
      </w:r>
      <w:r>
        <w:t>(1), 175–181. https://doi.org/10.1037/0021-9010.90.1.175</w:t>
      </w:r>
    </w:p>
    <w:p w14:paraId="2AC65516" w14:textId="77777777" w:rsidR="006A2C5A" w:rsidRDefault="00000000">
      <w:pPr>
        <w:spacing w:after="0" w:line="480" w:lineRule="auto"/>
        <w:ind w:left="720" w:hanging="720"/>
      </w:pPr>
      <w:r>
        <w:t xml:space="preserve">Poropat, A. E. (2009). A meta-analysis of the five-factor model of personality and academic performance. </w:t>
      </w:r>
      <w:r>
        <w:rPr>
          <w:i/>
        </w:rPr>
        <w:t>Psychological Bulletin, 135</w:t>
      </w:r>
      <w:r>
        <w:t>(2), 322–338. https://doi.org/10.1037/a0014996</w:t>
      </w:r>
    </w:p>
    <w:p w14:paraId="15BAF214" w14:textId="77777777" w:rsidR="006A2C5A" w:rsidRDefault="00000000">
      <w:pPr>
        <w:spacing w:after="0" w:line="480" w:lineRule="auto"/>
        <w:ind w:left="720" w:hanging="720"/>
      </w:pPr>
      <w:r>
        <w:t xml:space="preserve">Pustejovsky, J. E. (2023). </w:t>
      </w:r>
      <w:r>
        <w:rPr>
          <w:i/>
        </w:rPr>
        <w:t>clubSandwich: Cluster-robust (sandwich) variance estimators with small-sample corrections</w:t>
      </w:r>
      <w:r>
        <w:t xml:space="preserve"> (R package version 0.5.10) [Computer software]. https://CRAN.R-project.org/package=clubSandwich</w:t>
      </w:r>
    </w:p>
    <w:p w14:paraId="3FE5AEE0" w14:textId="77777777" w:rsidR="006A2C5A" w:rsidRDefault="00000000">
      <w:pPr>
        <w:spacing w:after="0" w:line="480" w:lineRule="auto"/>
        <w:ind w:left="720" w:hanging="720"/>
      </w:pPr>
      <w:r>
        <w:t xml:space="preserve">Quigley, </w:t>
      </w:r>
      <w:r>
        <w:rPr>
          <w:i/>
        </w:rPr>
        <w:t>M</w:t>
      </w:r>
      <w:r>
        <w:t>., Bradley, A., Playfoot, D., &amp; Harrad, R. (2022). Personality traits and stress perception as predictors of students' online engagement during the COVID-19 pandemic. Personality and Individual Differences, 194, 111645. https://doi.org/10.1016/j.paid.2022.111645</w:t>
      </w:r>
    </w:p>
    <w:p w14:paraId="69729765" w14:textId="77777777" w:rsidR="006A2C5A" w:rsidRDefault="00000000">
      <w:pPr>
        <w:spacing w:after="0" w:line="480" w:lineRule="auto"/>
        <w:ind w:left="720" w:hanging="720"/>
      </w:pPr>
      <w:r>
        <w:t xml:space="preserve">Raudenbush, S. W. (2009). Analyzing effect sizes: Random-effects models. In H. Cooper, L. V. Hedges, &amp; J. C. Valentine (Eds.), </w:t>
      </w:r>
      <w:r>
        <w:rPr>
          <w:i/>
        </w:rPr>
        <w:t>The handbook of research synthesis and meta-analysis</w:t>
      </w:r>
      <w:r>
        <w:t xml:space="preserve"> (2nd ed., pp. 295–315). Russell Sage Foundation.</w:t>
      </w:r>
    </w:p>
    <w:p w14:paraId="6C26FD97" w14:textId="77777777" w:rsidR="006A2C5A" w:rsidRDefault="00000000">
      <w:pPr>
        <w:spacing w:after="0" w:line="480" w:lineRule="auto"/>
        <w:ind w:left="720" w:hanging="720"/>
      </w:pPr>
      <w:r>
        <w:t xml:space="preserve">Rivers, D. J. (2021). The role of personality traits and online academic self-efficacy in acceptance, actual use and achievement in Moodle. </w:t>
      </w:r>
      <w:r>
        <w:rPr>
          <w:i/>
        </w:rPr>
        <w:t>Education and Information Technologies, 26</w:t>
      </w:r>
      <w:r>
        <w:t>(4), 4353–4378. https://doi.org/10.1007/s10639-021-10478-3</w:t>
      </w:r>
    </w:p>
    <w:p w14:paraId="2EDB8C62" w14:textId="77777777" w:rsidR="006A2C5A" w:rsidRDefault="00000000">
      <w:pPr>
        <w:spacing w:after="0" w:line="480" w:lineRule="auto"/>
        <w:ind w:left="720" w:hanging="720"/>
      </w:pPr>
      <w:r>
        <w:t xml:space="preserve">Rodrigues, J., Rose, R., &amp; Hewig, J. (2024). The relation of Big Five personality traits on academic performance, well-being and home study satisfaction in corona times. </w:t>
      </w:r>
      <w:r>
        <w:rPr>
          <w:i/>
        </w:rPr>
        <w:t>European Journal of Investigation in Health, Psychology and Education, 14</w:t>
      </w:r>
      <w:r>
        <w:t>(2), 368–384. https://doi.org/10.3390/ejihpe14020025</w:t>
      </w:r>
    </w:p>
    <w:p w14:paraId="37A54F43" w14:textId="77777777" w:rsidR="006A2C5A" w:rsidRDefault="00000000">
      <w:pPr>
        <w:spacing w:after="0" w:line="480" w:lineRule="auto"/>
        <w:ind w:left="720" w:hanging="720"/>
      </w:pPr>
      <w:r>
        <w:t xml:space="preserve">Sahinidis, A. G., &amp; Tsaknis, P. A. (2021). Exploring the relationship of the Big Five personality traits with student satisfaction with synchronous online academic learning: The case of </w:t>
      </w:r>
      <w:r>
        <w:lastRenderedPageBreak/>
        <w:t xml:space="preserve">Covid-19-induced changes. In A. Kavoura, S. Kefallonitis, &amp; P. Theodoridis (Eds.), </w:t>
      </w:r>
      <w:r>
        <w:rPr>
          <w:i/>
        </w:rPr>
        <w:t>Strategic Innovative Marketing and Tourism</w:t>
      </w:r>
      <w:r>
        <w:t xml:space="preserve"> (pp. 116–130). Springer. https://doi.org/10.1007/978-3-030-66154-0_10</w:t>
      </w:r>
    </w:p>
    <w:p w14:paraId="5BDE9800" w14:textId="77777777" w:rsidR="006A2C5A" w:rsidRDefault="00000000">
      <w:pPr>
        <w:spacing w:after="0" w:line="480" w:lineRule="auto"/>
        <w:ind w:left="720" w:hanging="720"/>
      </w:pPr>
      <w:r>
        <w:t xml:space="preserve">Schünemann, H. J., Higgins, J. P. T., Vist, G. E., Glasziou, P., Akl, E. A., Skoetz, </w:t>
      </w:r>
      <w:r>
        <w:rPr>
          <w:i/>
        </w:rPr>
        <w:t>N</w:t>
      </w:r>
      <w:r>
        <w:t xml:space="preserve">., &amp; Guyatt, G. H. (2019). Chapter 14: Completing "Summary of findings" tables and grading the certainty of the evidence. In J. P. T. Higgins, J. Thomas, J. Chandler, </w:t>
      </w:r>
      <w:r>
        <w:rPr>
          <w:i/>
        </w:rPr>
        <w:t>M</w:t>
      </w:r>
      <w:r>
        <w:t xml:space="preserve">. Cumpston, T. Li, </w:t>
      </w:r>
      <w:r>
        <w:rPr>
          <w:i/>
        </w:rPr>
        <w:t>M</w:t>
      </w:r>
      <w:r>
        <w:t>. J. Page, &amp; V. A. Welch (Eds.), Cochrane handbook for systematic reviews of interventions (2nd ed.). John Wiley &amp; Sons.</w:t>
      </w:r>
    </w:p>
    <w:p w14:paraId="057A2FF7" w14:textId="77777777" w:rsidR="006A2C5A" w:rsidRDefault="00000000">
      <w:pPr>
        <w:spacing w:after="0" w:line="480" w:lineRule="auto"/>
        <w:ind w:left="720" w:hanging="720"/>
      </w:pPr>
      <w:r>
        <w:t xml:space="preserve">Simonsohn, U., Nelson, L. D., &amp; Simmons, J. P. (2014). P-curve: A key to the file-drawer. </w:t>
      </w:r>
      <w:r>
        <w:rPr>
          <w:i/>
        </w:rPr>
        <w:t>Journal of Experimental Psychology: General, 143</w:t>
      </w:r>
      <w:r>
        <w:t>(2), 534–547. https://doi.org/10.1037/a0033242</w:t>
      </w:r>
    </w:p>
    <w:p w14:paraId="3B8EC2CA" w14:textId="77777777" w:rsidR="006A2C5A" w:rsidRDefault="00000000">
      <w:pPr>
        <w:spacing w:after="0" w:line="480" w:lineRule="auto"/>
        <w:ind w:left="720" w:hanging="720"/>
      </w:pPr>
      <w:r>
        <w:t xml:space="preserve">Stajkovic, A. D., Bandura, A., Locke, E. A., Lee, D., &amp; Sergent, K. (2018). Test of three conceptual models of influence of the big five personality traits and self-efficacy on academic performance: A meta-analytic path-analysis. </w:t>
      </w:r>
      <w:r>
        <w:rPr>
          <w:i/>
        </w:rPr>
        <w:t>Personality and Individual Differences, 120</w:t>
      </w:r>
      <w:r>
        <w:t>, 238–245. https://doi.org/10.1016/j.paid.2017.08.014</w:t>
      </w:r>
    </w:p>
    <w:p w14:paraId="6ED391BA" w14:textId="77777777" w:rsidR="006A2C5A" w:rsidRDefault="00000000">
      <w:pPr>
        <w:spacing w:after="0" w:line="480" w:lineRule="auto"/>
        <w:ind w:left="720" w:hanging="720"/>
      </w:pPr>
      <w:r>
        <w:t xml:space="preserve">Tipton, E. (2015). Small sample adjustments for robust variance estimation with meta-regression. </w:t>
      </w:r>
      <w:r>
        <w:rPr>
          <w:i/>
        </w:rPr>
        <w:t>Psychological Methods, 20</w:t>
      </w:r>
      <w:r>
        <w:t>(3), 375–393. https://doi.org/10.1037/met0000011</w:t>
      </w:r>
    </w:p>
    <w:p w14:paraId="458A7E50" w14:textId="77777777" w:rsidR="006A2C5A" w:rsidRDefault="00000000">
      <w:pPr>
        <w:spacing w:after="0" w:line="480" w:lineRule="auto"/>
        <w:ind w:left="720" w:hanging="720"/>
      </w:pPr>
      <w:r>
        <w:t xml:space="preserve">Tlili, A., Sun, T., Denden, </w:t>
      </w:r>
      <w:r>
        <w:rPr>
          <w:i/>
        </w:rPr>
        <w:t>M</w:t>
      </w:r>
      <w:r>
        <w:t>., Kinshuk, Graf, S., Fei, C., &amp; Wang, H. (2023). Impact of personality traits on learners' navigational behavior patterns in an online course: A lag sequential analysis approach. Frontiers in Psychology, 14, 1071985. https://doi.org/10.3389/fpsyg.2023.1071985</w:t>
      </w:r>
    </w:p>
    <w:p w14:paraId="6D1C92B5" w14:textId="77777777" w:rsidR="006A2C5A" w:rsidRDefault="00000000">
      <w:pPr>
        <w:spacing w:after="0" w:line="480" w:lineRule="auto"/>
        <w:ind w:left="720" w:hanging="720"/>
      </w:pPr>
      <w:r>
        <w:t>Tokiwa, E. (2025). Big Five personality traits and online learning outcomes in Japanese high school students [Manuscript in preparation]. SUNBLAZE Co., Ltd.</w:t>
      </w:r>
    </w:p>
    <w:p w14:paraId="7C352D2D" w14:textId="77777777" w:rsidR="006A2C5A" w:rsidRDefault="00000000">
      <w:pPr>
        <w:spacing w:after="0" w:line="480" w:lineRule="auto"/>
        <w:ind w:left="720" w:hanging="720"/>
      </w:pPr>
      <w:r>
        <w:lastRenderedPageBreak/>
        <w:t xml:space="preserve">Vedel, A. (2014). The Big Five and tertiary academic performance: A systematic review and meta-analysis. </w:t>
      </w:r>
      <w:r>
        <w:rPr>
          <w:i/>
        </w:rPr>
        <w:t>Personality and Individual Differences, 71</w:t>
      </w:r>
      <w:r>
        <w:t>, 66–76. https://doi.org/10.1016/j.paid.2014.07.011</w:t>
      </w:r>
    </w:p>
    <w:p w14:paraId="1F130844" w14:textId="77777777" w:rsidR="006A2C5A" w:rsidRDefault="00000000">
      <w:pPr>
        <w:spacing w:after="0" w:line="480" w:lineRule="auto"/>
        <w:ind w:left="720" w:hanging="720"/>
      </w:pPr>
      <w:r>
        <w:t xml:space="preserve">Viechtbauer, W. (2010). Conducting meta-analyses in R with the metafor package. </w:t>
      </w:r>
      <w:r>
        <w:rPr>
          <w:i/>
        </w:rPr>
        <w:t>Journal of Statistical Software, 36</w:t>
      </w:r>
      <w:r>
        <w:t>(3), 1–48. https://doi.org/10.18637/jss.v036.i03</w:t>
      </w:r>
    </w:p>
    <w:p w14:paraId="3830E85A" w14:textId="77777777" w:rsidR="006A2C5A" w:rsidRDefault="00000000">
      <w:pPr>
        <w:spacing w:after="0" w:line="480" w:lineRule="auto"/>
        <w:ind w:left="720" w:hanging="720"/>
      </w:pPr>
      <w:r>
        <w:t xml:space="preserve">Wang, P., Wang, </w:t>
      </w:r>
      <w:r>
        <w:rPr>
          <w:i/>
        </w:rPr>
        <w:t>F</w:t>
      </w:r>
      <w:r>
        <w:t>., &amp; Li, Z. (2023). Exploring the ecosystem of K-12 online learning: An empirical study of impact mechanisms in the post-pandemic era. Frontiers in Psychology, 14, 1241477. https://doi.org/10.3389/fpsyg.2023.1241477</w:t>
      </w:r>
    </w:p>
    <w:p w14:paraId="474EA1C2" w14:textId="77777777" w:rsidR="006A2C5A" w:rsidRDefault="00000000">
      <w:pPr>
        <w:spacing w:after="0" w:line="480" w:lineRule="auto"/>
        <w:ind w:left="720" w:hanging="720"/>
      </w:pPr>
      <w:r>
        <w:t xml:space="preserve">Yu, Z. (2021). The effects of gender, educational level, and personality on online learning outcomes during the COVID-19 pandemic. </w:t>
      </w:r>
      <w:r>
        <w:rPr>
          <w:i/>
        </w:rPr>
        <w:t>International Journal of Educational Technology in Higher Education, 18</w:t>
      </w:r>
      <w:r>
        <w:t>, Article 14. https://doi.org/10.1186/s41239-021-00252-3</w:t>
      </w:r>
    </w:p>
    <w:p w14:paraId="2EA059E2" w14:textId="77777777" w:rsidR="006A2C5A" w:rsidRDefault="00000000">
      <w:pPr>
        <w:spacing w:after="0" w:line="480" w:lineRule="auto"/>
        <w:ind w:left="720" w:hanging="720"/>
      </w:pPr>
      <w:r>
        <w:t xml:space="preserve">Zell, E., &amp; Lesick, T. L. (2022). Big five personality traits and performance: A quantitative synthesis of 50+ meta-analyses. </w:t>
      </w:r>
      <w:r>
        <w:rPr>
          <w:i/>
        </w:rPr>
        <w:t>Journal of Personality, 90</w:t>
      </w:r>
      <w:r>
        <w:t>(4), 559–573. https://doi.org/10.1111/jopy.12683</w:t>
      </w:r>
    </w:p>
    <w:p w14:paraId="58A4F4BD" w14:textId="77777777" w:rsidR="006A2C5A" w:rsidRDefault="00000000">
      <w:pPr>
        <w:spacing w:after="0" w:line="480" w:lineRule="auto"/>
        <w:ind w:left="720" w:hanging="720"/>
      </w:pPr>
      <w:r>
        <w:t xml:space="preserve">Zheng, Y., &amp; Zheng, S. (2023). Exploring educational impacts among pre, during and post COVID-19 lockdowns from students with different personality traits. </w:t>
      </w:r>
      <w:r>
        <w:rPr>
          <w:i/>
        </w:rPr>
        <w:t>International Journal of Educational Technology in Higher Education, 20</w:t>
      </w:r>
      <w:r>
        <w:t>(1), 21. https://doi.org/10.1186/s41239-023-00388-4</w:t>
      </w:r>
    </w:p>
    <w:p w14:paraId="4B4DD4FF" w14:textId="77777777" w:rsidR="006A2C5A" w:rsidRDefault="00000000">
      <w:r>
        <w:br w:type="page"/>
      </w:r>
    </w:p>
    <w:p w14:paraId="03F1086B" w14:textId="77777777" w:rsidR="006A2C5A" w:rsidRDefault="00000000">
      <w:pPr>
        <w:spacing w:after="0" w:line="480" w:lineRule="auto"/>
      </w:pPr>
      <w:r>
        <w:rPr>
          <w:b/>
        </w:rPr>
        <w:lastRenderedPageBreak/>
        <w:t>Table 1</w:t>
      </w:r>
    </w:p>
    <w:p w14:paraId="50DC92D0" w14:textId="77777777" w:rsidR="006A2C5A" w:rsidRDefault="00000000">
      <w:pPr>
        <w:spacing w:after="0" w:line="480" w:lineRule="auto"/>
      </w:pPr>
      <w:r>
        <w:rPr>
          <w:i/>
        </w:rPr>
        <w:t>Characteristics of the 31 Included Primary Studies and Their Contributions to the Quantitative Synthesis</w:t>
      </w:r>
    </w:p>
    <w:tbl>
      <w:tblPr>
        <w:tblStyle w:val="38"/>
        <w:tblW w:w="0" w:type="auto"/>
        <w:tblLook w:val="04A0" w:firstRow="1" w:lastRow="0" w:firstColumn="1" w:lastColumn="0" w:noHBand="0" w:noVBand="1"/>
      </w:tblPr>
      <w:tblGrid>
        <w:gridCol w:w="356"/>
        <w:gridCol w:w="904"/>
        <w:gridCol w:w="466"/>
        <w:gridCol w:w="1058"/>
        <w:gridCol w:w="745"/>
        <w:gridCol w:w="682"/>
        <w:gridCol w:w="821"/>
        <w:gridCol w:w="1002"/>
        <w:gridCol w:w="863"/>
        <w:gridCol w:w="1516"/>
        <w:gridCol w:w="710"/>
        <w:gridCol w:w="453"/>
      </w:tblGrid>
      <w:tr w:rsidR="006A2C5A" w14:paraId="5961C8BF" w14:textId="77777777" w:rsidTr="006A2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8F91A44" w14:textId="77777777" w:rsidR="006A2C5A" w:rsidRDefault="00000000">
            <w:r>
              <w:rPr>
                <w:sz w:val="16"/>
              </w:rPr>
              <w:t>ID</w:t>
            </w:r>
          </w:p>
        </w:tc>
        <w:tc>
          <w:tcPr>
            <w:tcW w:w="780" w:type="dxa"/>
          </w:tcPr>
          <w:p w14:paraId="47718156" w14:textId="77777777" w:rsidR="006A2C5A" w:rsidRDefault="00000000">
            <w:pPr>
              <w:cnfStyle w:val="100000000000" w:firstRow="1" w:lastRow="0" w:firstColumn="0" w:lastColumn="0" w:oddVBand="0" w:evenVBand="0" w:oddHBand="0" w:evenHBand="0" w:firstRowFirstColumn="0" w:firstRowLastColumn="0" w:lastRowFirstColumn="0" w:lastRowLastColumn="0"/>
            </w:pPr>
            <w:r>
              <w:rPr>
                <w:sz w:val="16"/>
              </w:rPr>
              <w:t>Author (Year)</w:t>
            </w:r>
          </w:p>
        </w:tc>
        <w:tc>
          <w:tcPr>
            <w:tcW w:w="780" w:type="dxa"/>
          </w:tcPr>
          <w:p w14:paraId="687BA9E4" w14:textId="77777777" w:rsidR="006A2C5A" w:rsidRDefault="00000000">
            <w:pPr>
              <w:cnfStyle w:val="100000000000" w:firstRow="1" w:lastRow="0" w:firstColumn="0" w:lastColumn="0" w:oddVBand="0" w:evenVBand="0" w:oddHBand="0" w:evenHBand="0" w:firstRowFirstColumn="0" w:firstRowLastColumn="0" w:lastRowFirstColumn="0" w:lastRowLastColumn="0"/>
            </w:pPr>
            <w:r>
              <w:rPr>
                <w:sz w:val="16"/>
              </w:rPr>
              <w:t>N</w:t>
            </w:r>
          </w:p>
        </w:tc>
        <w:tc>
          <w:tcPr>
            <w:tcW w:w="780" w:type="dxa"/>
          </w:tcPr>
          <w:p w14:paraId="6B316E03" w14:textId="77777777" w:rsidR="006A2C5A" w:rsidRDefault="00000000">
            <w:pPr>
              <w:cnfStyle w:val="100000000000" w:firstRow="1" w:lastRow="0" w:firstColumn="0" w:lastColumn="0" w:oddVBand="0" w:evenVBand="0" w:oddHBand="0" w:evenHBand="0" w:firstRowFirstColumn="0" w:firstRowLastColumn="0" w:lastRowFirstColumn="0" w:lastRowLastColumn="0"/>
            </w:pPr>
            <w:r>
              <w:rPr>
                <w:sz w:val="16"/>
              </w:rPr>
              <w:t>Country</w:t>
            </w:r>
          </w:p>
        </w:tc>
        <w:tc>
          <w:tcPr>
            <w:tcW w:w="780" w:type="dxa"/>
          </w:tcPr>
          <w:p w14:paraId="62564F4A" w14:textId="77777777" w:rsidR="006A2C5A" w:rsidRDefault="00000000">
            <w:pPr>
              <w:cnfStyle w:val="100000000000" w:firstRow="1" w:lastRow="0" w:firstColumn="0" w:lastColumn="0" w:oddVBand="0" w:evenVBand="0" w:oddHBand="0" w:evenHBand="0" w:firstRowFirstColumn="0" w:firstRowLastColumn="0" w:lastRowFirstColumn="0" w:lastRowLastColumn="0"/>
            </w:pPr>
            <w:r>
              <w:rPr>
                <w:sz w:val="16"/>
              </w:rPr>
              <w:t>Mode</w:t>
            </w:r>
          </w:p>
        </w:tc>
        <w:tc>
          <w:tcPr>
            <w:tcW w:w="780" w:type="dxa"/>
          </w:tcPr>
          <w:p w14:paraId="242CC0CC" w14:textId="77777777" w:rsidR="006A2C5A" w:rsidRDefault="00000000">
            <w:pPr>
              <w:cnfStyle w:val="100000000000" w:firstRow="1" w:lastRow="0" w:firstColumn="0" w:lastColumn="0" w:oddVBand="0" w:evenVBand="0" w:oddHBand="0" w:evenHBand="0" w:firstRowFirstColumn="0" w:firstRowLastColumn="0" w:lastRowFirstColumn="0" w:lastRowLastColumn="0"/>
            </w:pPr>
            <w:r>
              <w:rPr>
                <w:sz w:val="16"/>
              </w:rPr>
              <w:t>Level</w:t>
            </w:r>
          </w:p>
        </w:tc>
        <w:tc>
          <w:tcPr>
            <w:tcW w:w="780" w:type="dxa"/>
          </w:tcPr>
          <w:p w14:paraId="63ED0FB3" w14:textId="77777777" w:rsidR="006A2C5A" w:rsidRDefault="00000000">
            <w:pPr>
              <w:cnfStyle w:val="100000000000" w:firstRow="1" w:lastRow="0" w:firstColumn="0" w:lastColumn="0" w:oddVBand="0" w:evenVBand="0" w:oddHBand="0" w:evenHBand="0" w:firstRowFirstColumn="0" w:firstRowLastColumn="0" w:lastRowFirstColumn="0" w:lastRowLastColumn="0"/>
            </w:pPr>
            <w:r>
              <w:rPr>
                <w:sz w:val="16"/>
              </w:rPr>
              <w:t>Era</w:t>
            </w:r>
          </w:p>
        </w:tc>
        <w:tc>
          <w:tcPr>
            <w:tcW w:w="780" w:type="dxa"/>
          </w:tcPr>
          <w:p w14:paraId="18802BB5" w14:textId="77777777" w:rsidR="006A2C5A" w:rsidRDefault="00000000">
            <w:pPr>
              <w:cnfStyle w:val="100000000000" w:firstRow="1" w:lastRow="0" w:firstColumn="0" w:lastColumn="0" w:oddVBand="0" w:evenVBand="0" w:oddHBand="0" w:evenHBand="0" w:firstRowFirstColumn="0" w:firstRowLastColumn="0" w:lastRowFirstColumn="0" w:lastRowLastColumn="0"/>
            </w:pPr>
            <w:r>
              <w:rPr>
                <w:sz w:val="16"/>
              </w:rPr>
              <w:t>Region</w:t>
            </w:r>
          </w:p>
        </w:tc>
        <w:tc>
          <w:tcPr>
            <w:tcW w:w="780" w:type="dxa"/>
          </w:tcPr>
          <w:p w14:paraId="081984E4" w14:textId="77777777" w:rsidR="006A2C5A" w:rsidRDefault="00000000">
            <w:pPr>
              <w:cnfStyle w:val="100000000000" w:firstRow="1" w:lastRow="0" w:firstColumn="0" w:lastColumn="0" w:oddVBand="0" w:evenVBand="0" w:oddHBand="0" w:evenHBand="0" w:firstRowFirstColumn="0" w:firstRowLastColumn="0" w:lastRowFirstColumn="0" w:lastRowLastColumn="0"/>
            </w:pPr>
            <w:r>
              <w:rPr>
                <w:sz w:val="16"/>
              </w:rPr>
              <w:t>Instrument</w:t>
            </w:r>
          </w:p>
        </w:tc>
        <w:tc>
          <w:tcPr>
            <w:tcW w:w="780" w:type="dxa"/>
          </w:tcPr>
          <w:p w14:paraId="560BD2E7" w14:textId="77777777" w:rsidR="006A2C5A" w:rsidRDefault="00000000">
            <w:pPr>
              <w:cnfStyle w:val="100000000000" w:firstRow="1" w:lastRow="0" w:firstColumn="0" w:lastColumn="0" w:oddVBand="0" w:evenVBand="0" w:oddHBand="0" w:evenHBand="0" w:firstRowFirstColumn="0" w:firstRowLastColumn="0" w:lastRowFirstColumn="0" w:lastRowLastColumn="0"/>
            </w:pPr>
            <w:r>
              <w:rPr>
                <w:sz w:val="16"/>
              </w:rPr>
              <w:t>Outcome</w:t>
            </w:r>
          </w:p>
        </w:tc>
        <w:tc>
          <w:tcPr>
            <w:tcW w:w="780" w:type="dxa"/>
          </w:tcPr>
          <w:p w14:paraId="1EA6CAFA" w14:textId="77777777" w:rsidR="006A2C5A" w:rsidRDefault="00000000">
            <w:pPr>
              <w:cnfStyle w:val="100000000000" w:firstRow="1" w:lastRow="0" w:firstColumn="0" w:lastColumn="0" w:oddVBand="0" w:evenVBand="0" w:oddHBand="0" w:evenHBand="0" w:firstRowFirstColumn="0" w:firstRowLastColumn="0" w:lastRowFirstColumn="0" w:lastRowLastColumn="0"/>
            </w:pPr>
            <w:r>
              <w:rPr>
                <w:sz w:val="16"/>
              </w:rPr>
              <w:t>Inclusion</w:t>
            </w:r>
          </w:p>
        </w:tc>
        <w:tc>
          <w:tcPr>
            <w:tcW w:w="780" w:type="dxa"/>
          </w:tcPr>
          <w:p w14:paraId="7FC5913D" w14:textId="77777777" w:rsidR="006A2C5A" w:rsidRDefault="00000000">
            <w:pPr>
              <w:cnfStyle w:val="100000000000" w:firstRow="1" w:lastRow="0" w:firstColumn="0" w:lastColumn="0" w:oddVBand="0" w:evenVBand="0" w:oddHBand="0" w:evenHBand="0" w:firstRowFirstColumn="0" w:firstRowLastColumn="0" w:lastRowFirstColumn="0" w:lastRowLastColumn="0"/>
            </w:pPr>
            <w:r>
              <w:rPr>
                <w:sz w:val="16"/>
              </w:rPr>
              <w:t>RoB</w:t>
            </w:r>
          </w:p>
        </w:tc>
      </w:tr>
      <w:tr w:rsidR="006A2C5A" w14:paraId="36F747C0"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75F1D55" w14:textId="77777777" w:rsidR="006A2C5A" w:rsidRDefault="00000000">
            <w:r>
              <w:rPr>
                <w:sz w:val="16"/>
              </w:rPr>
              <w:t>A-01</w:t>
            </w:r>
          </w:p>
        </w:tc>
        <w:tc>
          <w:tcPr>
            <w:tcW w:w="780" w:type="dxa"/>
          </w:tcPr>
          <w:p w14:paraId="36F50678"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Abe (2020)</w:t>
            </w:r>
          </w:p>
        </w:tc>
        <w:tc>
          <w:tcPr>
            <w:tcW w:w="780" w:type="dxa"/>
          </w:tcPr>
          <w:p w14:paraId="7105F319"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92</w:t>
            </w:r>
          </w:p>
        </w:tc>
        <w:tc>
          <w:tcPr>
            <w:tcW w:w="780" w:type="dxa"/>
          </w:tcPr>
          <w:p w14:paraId="0C4BE731"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US</w:t>
            </w:r>
          </w:p>
        </w:tc>
        <w:tc>
          <w:tcPr>
            <w:tcW w:w="780" w:type="dxa"/>
          </w:tcPr>
          <w:p w14:paraId="56F105DC"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777AB890"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3A075EE1"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pre-COVID</w:t>
            </w:r>
          </w:p>
        </w:tc>
        <w:tc>
          <w:tcPr>
            <w:tcW w:w="780" w:type="dxa"/>
          </w:tcPr>
          <w:p w14:paraId="47CFAD3D"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North_America</w:t>
            </w:r>
          </w:p>
        </w:tc>
        <w:tc>
          <w:tcPr>
            <w:tcW w:w="780" w:type="dxa"/>
          </w:tcPr>
          <w:p w14:paraId="0535CC4A"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7BEADF29"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course_grade</w:t>
            </w:r>
          </w:p>
        </w:tc>
        <w:tc>
          <w:tcPr>
            <w:tcW w:w="780" w:type="dxa"/>
          </w:tcPr>
          <w:p w14:paraId="7C803581"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5D91A1C1"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6A2C5A" w14:paraId="55C2622B"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7885409" w14:textId="77777777" w:rsidR="006A2C5A" w:rsidRDefault="00000000">
            <w:r>
              <w:rPr>
                <w:sz w:val="16"/>
              </w:rPr>
              <w:t>A-02</w:t>
            </w:r>
          </w:p>
        </w:tc>
        <w:tc>
          <w:tcPr>
            <w:tcW w:w="780" w:type="dxa"/>
          </w:tcPr>
          <w:p w14:paraId="540CBB74"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Alkis (2018)</w:t>
            </w:r>
          </w:p>
        </w:tc>
        <w:tc>
          <w:tcPr>
            <w:tcW w:w="780" w:type="dxa"/>
          </w:tcPr>
          <w:p w14:paraId="07803759"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189</w:t>
            </w:r>
          </w:p>
        </w:tc>
        <w:tc>
          <w:tcPr>
            <w:tcW w:w="780" w:type="dxa"/>
          </w:tcPr>
          <w:p w14:paraId="5CD7FB84"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Turkey</w:t>
            </w:r>
          </w:p>
        </w:tc>
        <w:tc>
          <w:tcPr>
            <w:tcW w:w="780" w:type="dxa"/>
          </w:tcPr>
          <w:p w14:paraId="64D8DAE8"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6E52DBF5"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7BCD327F"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0A1732F1"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370A0452"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16547D2E"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course_grade</w:t>
            </w:r>
          </w:p>
        </w:tc>
        <w:tc>
          <w:tcPr>
            <w:tcW w:w="780" w:type="dxa"/>
          </w:tcPr>
          <w:p w14:paraId="42531AD0"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Inc-pri</w:t>
            </w:r>
          </w:p>
        </w:tc>
        <w:tc>
          <w:tcPr>
            <w:tcW w:w="780" w:type="dxa"/>
          </w:tcPr>
          <w:p w14:paraId="093873E2"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A2C5A" w14:paraId="692D15CB"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D3CE6E3" w14:textId="77777777" w:rsidR="006A2C5A" w:rsidRDefault="00000000">
            <w:r>
              <w:rPr>
                <w:sz w:val="16"/>
              </w:rPr>
              <w:t>A-03</w:t>
            </w:r>
          </w:p>
        </w:tc>
        <w:tc>
          <w:tcPr>
            <w:tcW w:w="780" w:type="dxa"/>
          </w:tcPr>
          <w:p w14:paraId="44724F15"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Ashouri (2025)</w:t>
            </w:r>
          </w:p>
        </w:tc>
        <w:tc>
          <w:tcPr>
            <w:tcW w:w="780" w:type="dxa"/>
          </w:tcPr>
          <w:p w14:paraId="7050B071"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183</w:t>
            </w:r>
          </w:p>
        </w:tc>
        <w:tc>
          <w:tcPr>
            <w:tcW w:w="780" w:type="dxa"/>
          </w:tcPr>
          <w:p w14:paraId="628DDAC1"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Iran</w:t>
            </w:r>
          </w:p>
        </w:tc>
        <w:tc>
          <w:tcPr>
            <w:tcW w:w="780" w:type="dxa"/>
          </w:tcPr>
          <w:p w14:paraId="770E1A1E"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730CE256"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5053FDBE"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413A4FA5"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750E3CD0"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3E3FE98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satisfaction</w:t>
            </w:r>
          </w:p>
        </w:tc>
        <w:tc>
          <w:tcPr>
            <w:tcW w:w="780" w:type="dxa"/>
          </w:tcPr>
          <w:p w14:paraId="34EEC486"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46F61269"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6A2C5A" w14:paraId="1D8F9E78"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1A9E9D0" w14:textId="77777777" w:rsidR="006A2C5A" w:rsidRDefault="00000000">
            <w:r>
              <w:rPr>
                <w:sz w:val="16"/>
              </w:rPr>
              <w:t>A-04</w:t>
            </w:r>
          </w:p>
        </w:tc>
        <w:tc>
          <w:tcPr>
            <w:tcW w:w="780" w:type="dxa"/>
          </w:tcPr>
          <w:p w14:paraId="6E7B749A"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Audet (2021)</w:t>
            </w:r>
          </w:p>
        </w:tc>
        <w:tc>
          <w:tcPr>
            <w:tcW w:w="780" w:type="dxa"/>
          </w:tcPr>
          <w:p w14:paraId="11351FF3"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350</w:t>
            </w:r>
          </w:p>
        </w:tc>
        <w:tc>
          <w:tcPr>
            <w:tcW w:w="780" w:type="dxa"/>
          </w:tcPr>
          <w:p w14:paraId="3E1770CA"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Canada</w:t>
            </w:r>
          </w:p>
        </w:tc>
        <w:tc>
          <w:tcPr>
            <w:tcW w:w="780" w:type="dxa"/>
          </w:tcPr>
          <w:p w14:paraId="244EC21D"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7C798602"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5D16F2C3"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546BFC61"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4DBDF166"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0AE2BFEF"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engagement</w:t>
            </w:r>
          </w:p>
        </w:tc>
        <w:tc>
          <w:tcPr>
            <w:tcW w:w="780" w:type="dxa"/>
          </w:tcPr>
          <w:p w14:paraId="37E9DA30"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21643D47"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A2C5A" w14:paraId="30BD906F"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29BF149F" w14:textId="77777777" w:rsidR="006A2C5A" w:rsidRDefault="00000000">
            <w:r>
              <w:rPr>
                <w:sz w:val="16"/>
              </w:rPr>
              <w:t>A-05</w:t>
            </w:r>
          </w:p>
        </w:tc>
        <w:tc>
          <w:tcPr>
            <w:tcW w:w="780" w:type="dxa"/>
          </w:tcPr>
          <w:p w14:paraId="2286E5FD"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Audet (2023)</w:t>
            </w:r>
          </w:p>
        </w:tc>
        <w:tc>
          <w:tcPr>
            <w:tcW w:w="780" w:type="dxa"/>
          </w:tcPr>
          <w:p w14:paraId="2C31E6AA"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678</w:t>
            </w:r>
          </w:p>
        </w:tc>
        <w:tc>
          <w:tcPr>
            <w:tcW w:w="780" w:type="dxa"/>
          </w:tcPr>
          <w:p w14:paraId="116AD3BD"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Canada</w:t>
            </w:r>
          </w:p>
        </w:tc>
        <w:tc>
          <w:tcPr>
            <w:tcW w:w="780" w:type="dxa"/>
          </w:tcPr>
          <w:p w14:paraId="4A49B42E"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08921D3C"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68783613"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66BF685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North_America</w:t>
            </w:r>
          </w:p>
        </w:tc>
        <w:tc>
          <w:tcPr>
            <w:tcW w:w="780" w:type="dxa"/>
          </w:tcPr>
          <w:p w14:paraId="5812D1F5"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650D839C"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engagement</w:t>
            </w:r>
          </w:p>
        </w:tc>
        <w:tc>
          <w:tcPr>
            <w:tcW w:w="780" w:type="dxa"/>
          </w:tcPr>
          <w:p w14:paraId="527EEF2F"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Exc-dup</w:t>
            </w:r>
          </w:p>
        </w:tc>
        <w:tc>
          <w:tcPr>
            <w:tcW w:w="780" w:type="dxa"/>
          </w:tcPr>
          <w:p w14:paraId="6AAAAD0C"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A2C5A" w14:paraId="2F26DDCC"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35ABB74" w14:textId="77777777" w:rsidR="006A2C5A" w:rsidRDefault="00000000">
            <w:r>
              <w:rPr>
                <w:sz w:val="16"/>
              </w:rPr>
              <w:t>A-06</w:t>
            </w:r>
          </w:p>
        </w:tc>
        <w:tc>
          <w:tcPr>
            <w:tcW w:w="780" w:type="dxa"/>
          </w:tcPr>
          <w:p w14:paraId="7AD635C4"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Sahinidis (2021)</w:t>
            </w:r>
          </w:p>
        </w:tc>
        <w:tc>
          <w:tcPr>
            <w:tcW w:w="780" w:type="dxa"/>
          </w:tcPr>
          <w:p w14:paraId="06D99E50"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555</w:t>
            </w:r>
          </w:p>
        </w:tc>
        <w:tc>
          <w:tcPr>
            <w:tcW w:w="780" w:type="dxa"/>
          </w:tcPr>
          <w:p w14:paraId="659B0B26"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Greece</w:t>
            </w:r>
          </w:p>
        </w:tc>
        <w:tc>
          <w:tcPr>
            <w:tcW w:w="780" w:type="dxa"/>
          </w:tcPr>
          <w:p w14:paraId="08079177"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256441D9"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123EDD7A"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10C35B47"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319170FC"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Custom 30-item Big Five</w:t>
            </w:r>
          </w:p>
        </w:tc>
        <w:tc>
          <w:tcPr>
            <w:tcW w:w="780" w:type="dxa"/>
          </w:tcPr>
          <w:p w14:paraId="33A8443F"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satisfaction</w:t>
            </w:r>
          </w:p>
        </w:tc>
        <w:tc>
          <w:tcPr>
            <w:tcW w:w="780" w:type="dxa"/>
          </w:tcPr>
          <w:p w14:paraId="594EF06A"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4469EFF2"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r>
      <w:tr w:rsidR="006A2C5A" w14:paraId="43A12358"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117AE82" w14:textId="77777777" w:rsidR="006A2C5A" w:rsidRDefault="00000000">
            <w:r>
              <w:rPr>
                <w:sz w:val="16"/>
              </w:rPr>
              <w:t>A-07</w:t>
            </w:r>
          </w:p>
        </w:tc>
        <w:tc>
          <w:tcPr>
            <w:tcW w:w="780" w:type="dxa"/>
          </w:tcPr>
          <w:p w14:paraId="048E6B13"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Cohen (2017)</w:t>
            </w:r>
          </w:p>
        </w:tc>
        <w:tc>
          <w:tcPr>
            <w:tcW w:w="780" w:type="dxa"/>
          </w:tcPr>
          <w:p w14:paraId="66AE7412"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72</w:t>
            </w:r>
          </w:p>
        </w:tc>
        <w:tc>
          <w:tcPr>
            <w:tcW w:w="780" w:type="dxa"/>
          </w:tcPr>
          <w:p w14:paraId="4DA7B668"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Israel</w:t>
            </w:r>
          </w:p>
        </w:tc>
        <w:tc>
          <w:tcPr>
            <w:tcW w:w="780" w:type="dxa"/>
          </w:tcPr>
          <w:p w14:paraId="360D8288"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3F557193"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Grad</w:t>
            </w:r>
          </w:p>
        </w:tc>
        <w:tc>
          <w:tcPr>
            <w:tcW w:w="780" w:type="dxa"/>
          </w:tcPr>
          <w:p w14:paraId="4BF2E9E5"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pre-COVID</w:t>
            </w:r>
          </w:p>
        </w:tc>
        <w:tc>
          <w:tcPr>
            <w:tcW w:w="780" w:type="dxa"/>
          </w:tcPr>
          <w:p w14:paraId="4103D9B2"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4BC363E5"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BFI-44 Hebrew</w:t>
            </w:r>
          </w:p>
        </w:tc>
        <w:tc>
          <w:tcPr>
            <w:tcW w:w="780" w:type="dxa"/>
          </w:tcPr>
          <w:p w14:paraId="21DC270E"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satisfaction</w:t>
            </w:r>
          </w:p>
        </w:tc>
        <w:tc>
          <w:tcPr>
            <w:tcW w:w="780" w:type="dxa"/>
          </w:tcPr>
          <w:p w14:paraId="15D2F5EB"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5930E3D4"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6A2C5A" w14:paraId="5FC02D0C"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7D5ACF4" w14:textId="77777777" w:rsidR="006A2C5A" w:rsidRDefault="00000000">
            <w:r>
              <w:rPr>
                <w:sz w:val="16"/>
              </w:rPr>
              <w:t>A-08</w:t>
            </w:r>
          </w:p>
        </w:tc>
        <w:tc>
          <w:tcPr>
            <w:tcW w:w="780" w:type="dxa"/>
          </w:tcPr>
          <w:p w14:paraId="7B58D924"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Keller (2013)</w:t>
            </w:r>
          </w:p>
        </w:tc>
        <w:tc>
          <w:tcPr>
            <w:tcW w:w="780" w:type="dxa"/>
          </w:tcPr>
          <w:p w14:paraId="1A8F2561"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250</w:t>
            </w:r>
          </w:p>
        </w:tc>
        <w:tc>
          <w:tcPr>
            <w:tcW w:w="780" w:type="dxa"/>
          </w:tcPr>
          <w:p w14:paraId="0099B1EA"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US</w:t>
            </w:r>
          </w:p>
        </w:tc>
        <w:tc>
          <w:tcPr>
            <w:tcW w:w="780" w:type="dxa"/>
          </w:tcPr>
          <w:p w14:paraId="234B0FEA"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11AE3670"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UG/Grad</w:t>
            </w:r>
          </w:p>
        </w:tc>
        <w:tc>
          <w:tcPr>
            <w:tcW w:w="780" w:type="dxa"/>
          </w:tcPr>
          <w:p w14:paraId="636B2F07"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21F81AEA"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462D4C70"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IPIP-50</w:t>
            </w:r>
          </w:p>
        </w:tc>
        <w:tc>
          <w:tcPr>
            <w:tcW w:w="780" w:type="dxa"/>
          </w:tcPr>
          <w:p w14:paraId="52DA3ED3"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perception</w:t>
            </w:r>
          </w:p>
        </w:tc>
        <w:tc>
          <w:tcPr>
            <w:tcW w:w="780" w:type="dxa"/>
          </w:tcPr>
          <w:p w14:paraId="19A91233"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062BF770"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r>
      <w:tr w:rsidR="006A2C5A" w14:paraId="5E5D5CAA"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A8D0963" w14:textId="77777777" w:rsidR="006A2C5A" w:rsidRDefault="00000000">
            <w:r>
              <w:rPr>
                <w:sz w:val="16"/>
              </w:rPr>
              <w:t>A-09</w:t>
            </w:r>
          </w:p>
        </w:tc>
        <w:tc>
          <w:tcPr>
            <w:tcW w:w="780" w:type="dxa"/>
          </w:tcPr>
          <w:p w14:paraId="3FAE079C"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Bhattacharjee (2025)</w:t>
            </w:r>
          </w:p>
        </w:tc>
        <w:tc>
          <w:tcPr>
            <w:tcW w:w="780" w:type="dxa"/>
          </w:tcPr>
          <w:p w14:paraId="1266D40D"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384</w:t>
            </w:r>
          </w:p>
        </w:tc>
        <w:tc>
          <w:tcPr>
            <w:tcW w:w="780" w:type="dxa"/>
          </w:tcPr>
          <w:p w14:paraId="0DE1AB2D"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India</w:t>
            </w:r>
          </w:p>
        </w:tc>
        <w:tc>
          <w:tcPr>
            <w:tcW w:w="780" w:type="dxa"/>
          </w:tcPr>
          <w:p w14:paraId="25709685"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FtF</w:t>
            </w:r>
          </w:p>
        </w:tc>
        <w:tc>
          <w:tcPr>
            <w:tcW w:w="780" w:type="dxa"/>
          </w:tcPr>
          <w:p w14:paraId="6B4B367E"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3F76793C"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post-COVID</w:t>
            </w:r>
          </w:p>
        </w:tc>
        <w:tc>
          <w:tcPr>
            <w:tcW w:w="780" w:type="dxa"/>
          </w:tcPr>
          <w:p w14:paraId="3F15B735"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3F223FE0"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1FF94320"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GPA</w:t>
            </w:r>
          </w:p>
        </w:tc>
        <w:tc>
          <w:tcPr>
            <w:tcW w:w="780" w:type="dxa"/>
          </w:tcPr>
          <w:p w14:paraId="3890F8CB"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Exc</w:t>
            </w:r>
          </w:p>
        </w:tc>
        <w:tc>
          <w:tcPr>
            <w:tcW w:w="780" w:type="dxa"/>
          </w:tcPr>
          <w:p w14:paraId="2CA5593E"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r>
      <w:tr w:rsidR="006A2C5A" w14:paraId="4626EA48"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EB8C7FD" w14:textId="77777777" w:rsidR="006A2C5A" w:rsidRDefault="00000000">
            <w:r>
              <w:rPr>
                <w:sz w:val="16"/>
              </w:rPr>
              <w:t>A-10</w:t>
            </w:r>
          </w:p>
        </w:tc>
        <w:tc>
          <w:tcPr>
            <w:tcW w:w="780" w:type="dxa"/>
          </w:tcPr>
          <w:p w14:paraId="51DD13C5"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Boonyapison (2025)</w:t>
            </w:r>
          </w:p>
        </w:tc>
        <w:tc>
          <w:tcPr>
            <w:tcW w:w="780" w:type="dxa"/>
          </w:tcPr>
          <w:p w14:paraId="294C44C2"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203</w:t>
            </w:r>
          </w:p>
        </w:tc>
        <w:tc>
          <w:tcPr>
            <w:tcW w:w="780" w:type="dxa"/>
          </w:tcPr>
          <w:p w14:paraId="6DF6984C"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Thailand</w:t>
            </w:r>
          </w:p>
        </w:tc>
        <w:tc>
          <w:tcPr>
            <w:tcW w:w="780" w:type="dxa"/>
          </w:tcPr>
          <w:p w14:paraId="283D82F0"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FtF</w:t>
            </w:r>
          </w:p>
        </w:tc>
        <w:tc>
          <w:tcPr>
            <w:tcW w:w="780" w:type="dxa"/>
          </w:tcPr>
          <w:p w14:paraId="5AD4F73F"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K-12</w:t>
            </w:r>
          </w:p>
        </w:tc>
        <w:tc>
          <w:tcPr>
            <w:tcW w:w="780" w:type="dxa"/>
          </w:tcPr>
          <w:p w14:paraId="371DFF5C"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post-COVID</w:t>
            </w:r>
          </w:p>
        </w:tc>
        <w:tc>
          <w:tcPr>
            <w:tcW w:w="780" w:type="dxa"/>
          </w:tcPr>
          <w:p w14:paraId="14DA2D3D"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11063536"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36340700"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GPA</w:t>
            </w:r>
          </w:p>
        </w:tc>
        <w:tc>
          <w:tcPr>
            <w:tcW w:w="780" w:type="dxa"/>
          </w:tcPr>
          <w:p w14:paraId="04FD4F30"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Exc</w:t>
            </w:r>
          </w:p>
        </w:tc>
        <w:tc>
          <w:tcPr>
            <w:tcW w:w="780" w:type="dxa"/>
          </w:tcPr>
          <w:p w14:paraId="04D3A328"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A2C5A" w14:paraId="50E4798B"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DF6A133" w14:textId="77777777" w:rsidR="006A2C5A" w:rsidRDefault="00000000">
            <w:r>
              <w:rPr>
                <w:sz w:val="16"/>
              </w:rPr>
              <w:t>A-11</w:t>
            </w:r>
          </w:p>
        </w:tc>
        <w:tc>
          <w:tcPr>
            <w:tcW w:w="780" w:type="dxa"/>
          </w:tcPr>
          <w:p w14:paraId="59930196"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Cheng (2023)</w:t>
            </w:r>
          </w:p>
        </w:tc>
        <w:tc>
          <w:tcPr>
            <w:tcW w:w="780" w:type="dxa"/>
          </w:tcPr>
          <w:p w14:paraId="77B0AC15"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746</w:t>
            </w:r>
          </w:p>
        </w:tc>
        <w:tc>
          <w:tcPr>
            <w:tcW w:w="780" w:type="dxa"/>
          </w:tcPr>
          <w:p w14:paraId="4FC6A49A"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Taiwan</w:t>
            </w:r>
          </w:p>
        </w:tc>
        <w:tc>
          <w:tcPr>
            <w:tcW w:w="780" w:type="dxa"/>
          </w:tcPr>
          <w:p w14:paraId="12A59545"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755C2C10"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Sec/Post</w:t>
            </w:r>
          </w:p>
        </w:tc>
        <w:tc>
          <w:tcPr>
            <w:tcW w:w="780" w:type="dxa"/>
          </w:tcPr>
          <w:p w14:paraId="6C136443"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3EFA4152"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21A8BEAF"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BFI_C_only</w:t>
            </w:r>
          </w:p>
        </w:tc>
        <w:tc>
          <w:tcPr>
            <w:tcW w:w="780" w:type="dxa"/>
          </w:tcPr>
          <w:p w14:paraId="61A7F585"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procrastination</w:t>
            </w:r>
          </w:p>
        </w:tc>
        <w:tc>
          <w:tcPr>
            <w:tcW w:w="780" w:type="dxa"/>
          </w:tcPr>
          <w:p w14:paraId="0382E721"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4FE9A179"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A2C5A" w14:paraId="223A440E"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817BA7C" w14:textId="77777777" w:rsidR="006A2C5A" w:rsidRDefault="00000000">
            <w:r>
              <w:rPr>
                <w:sz w:val="16"/>
              </w:rPr>
              <w:t>A-12</w:t>
            </w:r>
          </w:p>
        </w:tc>
        <w:tc>
          <w:tcPr>
            <w:tcW w:w="780" w:type="dxa"/>
          </w:tcPr>
          <w:p w14:paraId="715A23F3"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Baruth (2023)</w:t>
            </w:r>
          </w:p>
        </w:tc>
        <w:tc>
          <w:tcPr>
            <w:tcW w:w="780" w:type="dxa"/>
          </w:tcPr>
          <w:p w14:paraId="2A22199D"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108</w:t>
            </w:r>
          </w:p>
        </w:tc>
        <w:tc>
          <w:tcPr>
            <w:tcW w:w="780" w:type="dxa"/>
          </w:tcPr>
          <w:p w14:paraId="793D6B15"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Israel</w:t>
            </w:r>
          </w:p>
        </w:tc>
        <w:tc>
          <w:tcPr>
            <w:tcW w:w="780" w:type="dxa"/>
          </w:tcPr>
          <w:p w14:paraId="4441F6AB"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31A0E9A5"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05302B86"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24025939"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09259343"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BFI-44 Hebrew</w:t>
            </w:r>
          </w:p>
        </w:tc>
        <w:tc>
          <w:tcPr>
            <w:tcW w:w="780" w:type="dxa"/>
          </w:tcPr>
          <w:p w14:paraId="018F239F"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satisfaction</w:t>
            </w:r>
          </w:p>
        </w:tc>
        <w:tc>
          <w:tcPr>
            <w:tcW w:w="780" w:type="dxa"/>
          </w:tcPr>
          <w:p w14:paraId="6B5639AA"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65EF23B8"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r>
      <w:tr w:rsidR="006A2C5A" w14:paraId="389BD159"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0518A61" w14:textId="77777777" w:rsidR="006A2C5A" w:rsidRDefault="00000000">
            <w:r>
              <w:rPr>
                <w:sz w:val="16"/>
              </w:rPr>
              <w:t>A-13</w:t>
            </w:r>
          </w:p>
        </w:tc>
        <w:tc>
          <w:tcPr>
            <w:tcW w:w="780" w:type="dxa"/>
          </w:tcPr>
          <w:p w14:paraId="4336750B"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Dang (2025)</w:t>
            </w:r>
          </w:p>
        </w:tc>
        <w:tc>
          <w:tcPr>
            <w:tcW w:w="780" w:type="dxa"/>
          </w:tcPr>
          <w:p w14:paraId="1B34FD9E"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235</w:t>
            </w:r>
          </w:p>
        </w:tc>
        <w:tc>
          <w:tcPr>
            <w:tcW w:w="780" w:type="dxa"/>
          </w:tcPr>
          <w:p w14:paraId="5AF248F9"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1BE6699A"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716DF70F"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22ABEA8B"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post-COVID</w:t>
            </w:r>
          </w:p>
        </w:tc>
        <w:tc>
          <w:tcPr>
            <w:tcW w:w="780" w:type="dxa"/>
          </w:tcPr>
          <w:p w14:paraId="3851A625"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2F5FB681"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NEO-FFI_Chinese</w:t>
            </w:r>
          </w:p>
        </w:tc>
        <w:tc>
          <w:tcPr>
            <w:tcW w:w="780" w:type="dxa"/>
          </w:tcPr>
          <w:p w14:paraId="05E93D45"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engagement</w:t>
            </w:r>
          </w:p>
        </w:tc>
        <w:tc>
          <w:tcPr>
            <w:tcW w:w="780" w:type="dxa"/>
          </w:tcPr>
          <w:p w14:paraId="5FE041B4"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394574BA"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6A2C5A" w14:paraId="22746C61"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CBB0BA3" w14:textId="77777777" w:rsidR="006A2C5A" w:rsidRDefault="00000000">
            <w:r>
              <w:rPr>
                <w:sz w:val="16"/>
              </w:rPr>
              <w:t>A-15</w:t>
            </w:r>
          </w:p>
        </w:tc>
        <w:tc>
          <w:tcPr>
            <w:tcW w:w="780" w:type="dxa"/>
          </w:tcPr>
          <w:p w14:paraId="3EBA50EB"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Elvers (2003)</w:t>
            </w:r>
          </w:p>
        </w:tc>
        <w:tc>
          <w:tcPr>
            <w:tcW w:w="780" w:type="dxa"/>
          </w:tcPr>
          <w:p w14:paraId="0CBF2602"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47</w:t>
            </w:r>
          </w:p>
        </w:tc>
        <w:tc>
          <w:tcPr>
            <w:tcW w:w="780" w:type="dxa"/>
          </w:tcPr>
          <w:p w14:paraId="1C21DE04"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US</w:t>
            </w:r>
          </w:p>
        </w:tc>
        <w:tc>
          <w:tcPr>
            <w:tcW w:w="780" w:type="dxa"/>
          </w:tcPr>
          <w:p w14:paraId="5A4EF746"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22711EA2"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68B0FD66"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68F61602"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43B73068"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NEO-FFI</w:t>
            </w:r>
          </w:p>
        </w:tc>
        <w:tc>
          <w:tcPr>
            <w:tcW w:w="780" w:type="dxa"/>
          </w:tcPr>
          <w:p w14:paraId="65C8CBEA"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procrastination_exam</w:t>
            </w:r>
          </w:p>
        </w:tc>
        <w:tc>
          <w:tcPr>
            <w:tcW w:w="780" w:type="dxa"/>
          </w:tcPr>
          <w:p w14:paraId="6343AA72"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Inc-pri*</w:t>
            </w:r>
          </w:p>
        </w:tc>
        <w:tc>
          <w:tcPr>
            <w:tcW w:w="780" w:type="dxa"/>
          </w:tcPr>
          <w:p w14:paraId="35EEBA78"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A2C5A" w14:paraId="2E008D96"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76E9675" w14:textId="77777777" w:rsidR="006A2C5A" w:rsidRDefault="00000000">
            <w:r>
              <w:rPr>
                <w:sz w:val="16"/>
              </w:rPr>
              <w:t>A</w:t>
            </w:r>
            <w:r>
              <w:rPr>
                <w:sz w:val="16"/>
              </w:rPr>
              <w:lastRenderedPageBreak/>
              <w:t>-16</w:t>
            </w:r>
          </w:p>
        </w:tc>
        <w:tc>
          <w:tcPr>
            <w:tcW w:w="780" w:type="dxa"/>
          </w:tcPr>
          <w:p w14:paraId="188F02D0"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Hidalgo-</w:t>
            </w:r>
            <w:r>
              <w:rPr>
                <w:sz w:val="16"/>
              </w:rPr>
              <w:lastRenderedPageBreak/>
              <w:t>Fuentes (2024)</w:t>
            </w:r>
          </w:p>
        </w:tc>
        <w:tc>
          <w:tcPr>
            <w:tcW w:w="780" w:type="dxa"/>
          </w:tcPr>
          <w:p w14:paraId="416BA62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457</w:t>
            </w:r>
          </w:p>
        </w:tc>
        <w:tc>
          <w:tcPr>
            <w:tcW w:w="780" w:type="dxa"/>
          </w:tcPr>
          <w:p w14:paraId="59D1EFAC"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Honduras+S</w:t>
            </w:r>
            <w:r>
              <w:rPr>
                <w:sz w:val="16"/>
              </w:rPr>
              <w:lastRenderedPageBreak/>
              <w:t>pain</w:t>
            </w:r>
          </w:p>
        </w:tc>
        <w:tc>
          <w:tcPr>
            <w:tcW w:w="780" w:type="dxa"/>
          </w:tcPr>
          <w:p w14:paraId="65E47A9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FtF</w:t>
            </w:r>
          </w:p>
        </w:tc>
        <w:tc>
          <w:tcPr>
            <w:tcW w:w="780" w:type="dxa"/>
          </w:tcPr>
          <w:p w14:paraId="093FDC49"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71F27F6F"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post-</w:t>
            </w:r>
            <w:r>
              <w:rPr>
                <w:sz w:val="16"/>
              </w:rPr>
              <w:lastRenderedPageBreak/>
              <w:t>COVID</w:t>
            </w:r>
          </w:p>
        </w:tc>
        <w:tc>
          <w:tcPr>
            <w:tcW w:w="780" w:type="dxa"/>
          </w:tcPr>
          <w:p w14:paraId="7F0FB7E3"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Europe</w:t>
            </w:r>
          </w:p>
        </w:tc>
        <w:tc>
          <w:tcPr>
            <w:tcW w:w="780" w:type="dxa"/>
          </w:tcPr>
          <w:p w14:paraId="190E7554"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BFI-2-S</w:t>
            </w:r>
          </w:p>
        </w:tc>
        <w:tc>
          <w:tcPr>
            <w:tcW w:w="780" w:type="dxa"/>
          </w:tcPr>
          <w:p w14:paraId="5AB7E6B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procrastination</w:t>
            </w:r>
          </w:p>
        </w:tc>
        <w:tc>
          <w:tcPr>
            <w:tcW w:w="780" w:type="dxa"/>
          </w:tcPr>
          <w:p w14:paraId="5C1AD418"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Exc</w:t>
            </w:r>
          </w:p>
        </w:tc>
        <w:tc>
          <w:tcPr>
            <w:tcW w:w="780" w:type="dxa"/>
          </w:tcPr>
          <w:p w14:paraId="0C477FDA"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6A2C5A" w14:paraId="615CE615"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6448097" w14:textId="77777777" w:rsidR="006A2C5A" w:rsidRDefault="00000000">
            <w:r>
              <w:rPr>
                <w:sz w:val="16"/>
              </w:rPr>
              <w:t>A-17</w:t>
            </w:r>
          </w:p>
        </w:tc>
        <w:tc>
          <w:tcPr>
            <w:tcW w:w="780" w:type="dxa"/>
          </w:tcPr>
          <w:p w14:paraId="6D061D89"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Kara (2024)</w:t>
            </w:r>
          </w:p>
        </w:tc>
        <w:tc>
          <w:tcPr>
            <w:tcW w:w="780" w:type="dxa"/>
          </w:tcPr>
          <w:p w14:paraId="1EA7F434"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437</w:t>
            </w:r>
          </w:p>
        </w:tc>
        <w:tc>
          <w:tcPr>
            <w:tcW w:w="780" w:type="dxa"/>
          </w:tcPr>
          <w:p w14:paraId="2C5023DE"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Turkey</w:t>
            </w:r>
          </w:p>
        </w:tc>
        <w:tc>
          <w:tcPr>
            <w:tcW w:w="780" w:type="dxa"/>
          </w:tcPr>
          <w:p w14:paraId="197CBF3D"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61C1347D"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4C079B7E"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post-COVID</w:t>
            </w:r>
          </w:p>
        </w:tc>
        <w:tc>
          <w:tcPr>
            <w:tcW w:w="780" w:type="dxa"/>
          </w:tcPr>
          <w:p w14:paraId="5AE502D2"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1EAA0829"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BFI-44</w:t>
            </w:r>
          </w:p>
        </w:tc>
        <w:tc>
          <w:tcPr>
            <w:tcW w:w="780" w:type="dxa"/>
          </w:tcPr>
          <w:p w14:paraId="7C07C683"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engagement</w:t>
            </w:r>
          </w:p>
        </w:tc>
        <w:tc>
          <w:tcPr>
            <w:tcW w:w="780" w:type="dxa"/>
          </w:tcPr>
          <w:p w14:paraId="51578394"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255FA580"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A2C5A" w14:paraId="1D35E37E"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43F39184" w14:textId="77777777" w:rsidR="006A2C5A" w:rsidRDefault="00000000">
            <w:r>
              <w:rPr>
                <w:sz w:val="16"/>
              </w:rPr>
              <w:t>A-18</w:t>
            </w:r>
          </w:p>
        </w:tc>
        <w:tc>
          <w:tcPr>
            <w:tcW w:w="780" w:type="dxa"/>
          </w:tcPr>
          <w:p w14:paraId="72223F4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Bhagat (2019)</w:t>
            </w:r>
          </w:p>
        </w:tc>
        <w:tc>
          <w:tcPr>
            <w:tcW w:w="780" w:type="dxa"/>
          </w:tcPr>
          <w:p w14:paraId="26E28E31"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208</w:t>
            </w:r>
          </w:p>
        </w:tc>
        <w:tc>
          <w:tcPr>
            <w:tcW w:w="780" w:type="dxa"/>
          </w:tcPr>
          <w:p w14:paraId="5C75A9F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Taiwan</w:t>
            </w:r>
          </w:p>
        </w:tc>
        <w:tc>
          <w:tcPr>
            <w:tcW w:w="780" w:type="dxa"/>
          </w:tcPr>
          <w:p w14:paraId="2906637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752293EF"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4A923182"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pre-COVID</w:t>
            </w:r>
          </w:p>
        </w:tc>
        <w:tc>
          <w:tcPr>
            <w:tcW w:w="780" w:type="dxa"/>
          </w:tcPr>
          <w:p w14:paraId="6582217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4C4AB8E2"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Mini-IPIP</w:t>
            </w:r>
          </w:p>
        </w:tc>
        <w:tc>
          <w:tcPr>
            <w:tcW w:w="780" w:type="dxa"/>
          </w:tcPr>
          <w:p w14:paraId="69A38A18"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perception</w:t>
            </w:r>
          </w:p>
        </w:tc>
        <w:tc>
          <w:tcPr>
            <w:tcW w:w="780" w:type="dxa"/>
          </w:tcPr>
          <w:p w14:paraId="41F5AC4F"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08E03AA1"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6A2C5A" w14:paraId="485427B9"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7652AAC" w14:textId="77777777" w:rsidR="006A2C5A" w:rsidRDefault="00000000">
            <w:r>
              <w:rPr>
                <w:sz w:val="16"/>
              </w:rPr>
              <w:t>A-19</w:t>
            </w:r>
          </w:p>
        </w:tc>
        <w:tc>
          <w:tcPr>
            <w:tcW w:w="780" w:type="dxa"/>
          </w:tcPr>
          <w:p w14:paraId="3F22D06A"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MacLean (2022)</w:t>
            </w:r>
          </w:p>
        </w:tc>
        <w:tc>
          <w:tcPr>
            <w:tcW w:w="780" w:type="dxa"/>
          </w:tcPr>
          <w:p w14:paraId="35A25ABC"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465</w:t>
            </w:r>
          </w:p>
        </w:tc>
        <w:tc>
          <w:tcPr>
            <w:tcW w:w="780" w:type="dxa"/>
          </w:tcPr>
          <w:p w14:paraId="307FAB2D"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Canada</w:t>
            </w:r>
          </w:p>
        </w:tc>
        <w:tc>
          <w:tcPr>
            <w:tcW w:w="780" w:type="dxa"/>
          </w:tcPr>
          <w:p w14:paraId="2CD69EC3"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40956845"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3ECDF935"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7EDE2D6F"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North_America</w:t>
            </w:r>
          </w:p>
        </w:tc>
        <w:tc>
          <w:tcPr>
            <w:tcW w:w="780" w:type="dxa"/>
          </w:tcPr>
          <w:p w14:paraId="2C81EA98"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HEXACO-PI-R</w:t>
            </w:r>
          </w:p>
        </w:tc>
        <w:tc>
          <w:tcPr>
            <w:tcW w:w="780" w:type="dxa"/>
          </w:tcPr>
          <w:p w14:paraId="0F119905"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preference</w:t>
            </w:r>
          </w:p>
        </w:tc>
        <w:tc>
          <w:tcPr>
            <w:tcW w:w="780" w:type="dxa"/>
          </w:tcPr>
          <w:p w14:paraId="31281974"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6A65394D"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r>
      <w:tr w:rsidR="006A2C5A" w14:paraId="46CB35B9"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F84BB7F" w14:textId="77777777" w:rsidR="006A2C5A" w:rsidRDefault="00000000">
            <w:r>
              <w:rPr>
                <w:sz w:val="16"/>
              </w:rPr>
              <w:t>A-20</w:t>
            </w:r>
          </w:p>
        </w:tc>
        <w:tc>
          <w:tcPr>
            <w:tcW w:w="780" w:type="dxa"/>
          </w:tcPr>
          <w:p w14:paraId="0219E86F"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Mustafa (2022)</w:t>
            </w:r>
          </w:p>
        </w:tc>
        <w:tc>
          <w:tcPr>
            <w:tcW w:w="780" w:type="dxa"/>
          </w:tcPr>
          <w:p w14:paraId="36F69004"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718</w:t>
            </w:r>
          </w:p>
        </w:tc>
        <w:tc>
          <w:tcPr>
            <w:tcW w:w="780" w:type="dxa"/>
          </w:tcPr>
          <w:p w14:paraId="2BFFAAF2"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0A4DC6F5"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64D64B9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0C1ECE9A"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14E8AF42"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3D982B21"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Chinese Big Five</w:t>
            </w:r>
          </w:p>
        </w:tc>
        <w:tc>
          <w:tcPr>
            <w:tcW w:w="780" w:type="dxa"/>
          </w:tcPr>
          <w:p w14:paraId="11BB54A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satisfaction</w:t>
            </w:r>
          </w:p>
        </w:tc>
        <w:tc>
          <w:tcPr>
            <w:tcW w:w="780" w:type="dxa"/>
          </w:tcPr>
          <w:p w14:paraId="5AAB3EF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Inc-sec</w:t>
            </w:r>
          </w:p>
        </w:tc>
        <w:tc>
          <w:tcPr>
            <w:tcW w:w="780" w:type="dxa"/>
          </w:tcPr>
          <w:p w14:paraId="769B81B0"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A2C5A" w14:paraId="2DBE1EE3"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CD8CC8D" w14:textId="77777777" w:rsidR="006A2C5A" w:rsidRDefault="00000000">
            <w:r>
              <w:rPr>
                <w:sz w:val="16"/>
              </w:rPr>
              <w:t>A-21</w:t>
            </w:r>
          </w:p>
        </w:tc>
        <w:tc>
          <w:tcPr>
            <w:tcW w:w="780" w:type="dxa"/>
          </w:tcPr>
          <w:p w14:paraId="242C2EF7"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Nakayama (2014)</w:t>
            </w:r>
          </w:p>
        </w:tc>
        <w:tc>
          <w:tcPr>
            <w:tcW w:w="780" w:type="dxa"/>
          </w:tcPr>
          <w:p w14:paraId="4E128961"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53</w:t>
            </w:r>
          </w:p>
        </w:tc>
        <w:tc>
          <w:tcPr>
            <w:tcW w:w="780" w:type="dxa"/>
          </w:tcPr>
          <w:p w14:paraId="382D2B4D"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Japan</w:t>
            </w:r>
          </w:p>
        </w:tc>
        <w:tc>
          <w:tcPr>
            <w:tcW w:w="780" w:type="dxa"/>
          </w:tcPr>
          <w:p w14:paraId="37E2F361"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189F91E1"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3CAC1CB6"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31D63FE5"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035DFC80"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IPIP</w:t>
            </w:r>
          </w:p>
        </w:tc>
        <w:tc>
          <w:tcPr>
            <w:tcW w:w="780" w:type="dxa"/>
          </w:tcPr>
          <w:p w14:paraId="47AC78D7"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test_score</w:t>
            </w:r>
          </w:p>
        </w:tc>
        <w:tc>
          <w:tcPr>
            <w:tcW w:w="780" w:type="dxa"/>
          </w:tcPr>
          <w:p w14:paraId="3EA4AEBE"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Inc-sec</w:t>
            </w:r>
          </w:p>
        </w:tc>
        <w:tc>
          <w:tcPr>
            <w:tcW w:w="780" w:type="dxa"/>
          </w:tcPr>
          <w:p w14:paraId="4ED0724F"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r>
      <w:tr w:rsidR="006A2C5A" w14:paraId="21C1FF72"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1B3AA4D" w14:textId="77777777" w:rsidR="006A2C5A" w:rsidRDefault="00000000">
            <w:r>
              <w:rPr>
                <w:sz w:val="16"/>
              </w:rPr>
              <w:t>A-22</w:t>
            </w:r>
          </w:p>
        </w:tc>
        <w:tc>
          <w:tcPr>
            <w:tcW w:w="780" w:type="dxa"/>
          </w:tcPr>
          <w:p w14:paraId="149942E3"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Quigley (2022)</w:t>
            </w:r>
          </w:p>
        </w:tc>
        <w:tc>
          <w:tcPr>
            <w:tcW w:w="780" w:type="dxa"/>
          </w:tcPr>
          <w:p w14:paraId="56A7BC21"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301</w:t>
            </w:r>
          </w:p>
        </w:tc>
        <w:tc>
          <w:tcPr>
            <w:tcW w:w="780" w:type="dxa"/>
          </w:tcPr>
          <w:p w14:paraId="7BE92AA2"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UK</w:t>
            </w:r>
          </w:p>
        </w:tc>
        <w:tc>
          <w:tcPr>
            <w:tcW w:w="780" w:type="dxa"/>
          </w:tcPr>
          <w:p w14:paraId="3B15713A"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40A598F5"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2BE9D582"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44B0A249"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Europe</w:t>
            </w:r>
          </w:p>
        </w:tc>
        <w:tc>
          <w:tcPr>
            <w:tcW w:w="780" w:type="dxa"/>
          </w:tcPr>
          <w:p w14:paraId="474E9DFD"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2E0FDA16"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engagement_performance</w:t>
            </w:r>
          </w:p>
        </w:tc>
        <w:tc>
          <w:tcPr>
            <w:tcW w:w="780" w:type="dxa"/>
          </w:tcPr>
          <w:p w14:paraId="312E5C6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5A9BB029"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A2C5A" w14:paraId="02ACBDFC"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2A717721" w14:textId="77777777" w:rsidR="006A2C5A" w:rsidRDefault="00000000">
            <w:r>
              <w:rPr>
                <w:sz w:val="16"/>
              </w:rPr>
              <w:t>A-23</w:t>
            </w:r>
          </w:p>
        </w:tc>
        <w:tc>
          <w:tcPr>
            <w:tcW w:w="780" w:type="dxa"/>
          </w:tcPr>
          <w:p w14:paraId="5DF40819"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Rodrigues (2024)</w:t>
            </w:r>
          </w:p>
        </w:tc>
        <w:tc>
          <w:tcPr>
            <w:tcW w:w="780" w:type="dxa"/>
          </w:tcPr>
          <w:p w14:paraId="75E7A27C"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260</w:t>
            </w:r>
          </w:p>
        </w:tc>
        <w:tc>
          <w:tcPr>
            <w:tcW w:w="780" w:type="dxa"/>
          </w:tcPr>
          <w:p w14:paraId="52517578"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Germany</w:t>
            </w:r>
          </w:p>
        </w:tc>
        <w:tc>
          <w:tcPr>
            <w:tcW w:w="780" w:type="dxa"/>
          </w:tcPr>
          <w:p w14:paraId="1A145157"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18813ACB"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30B93C76"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4D5155FB"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445C533A"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BFI-S</w:t>
            </w:r>
          </w:p>
        </w:tc>
        <w:tc>
          <w:tcPr>
            <w:tcW w:w="780" w:type="dxa"/>
          </w:tcPr>
          <w:p w14:paraId="24F1B821"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GPA</w:t>
            </w:r>
          </w:p>
        </w:tc>
        <w:tc>
          <w:tcPr>
            <w:tcW w:w="780" w:type="dxa"/>
          </w:tcPr>
          <w:p w14:paraId="68319E95"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Inc-pri</w:t>
            </w:r>
          </w:p>
        </w:tc>
        <w:tc>
          <w:tcPr>
            <w:tcW w:w="780" w:type="dxa"/>
          </w:tcPr>
          <w:p w14:paraId="529D96BD"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7</w:t>
            </w:r>
          </w:p>
        </w:tc>
      </w:tr>
      <w:tr w:rsidR="006A2C5A" w14:paraId="1A9F6E93"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801208C" w14:textId="77777777" w:rsidR="006A2C5A" w:rsidRDefault="00000000">
            <w:r>
              <w:rPr>
                <w:sz w:val="16"/>
              </w:rPr>
              <w:t>A-24</w:t>
            </w:r>
          </w:p>
        </w:tc>
        <w:tc>
          <w:tcPr>
            <w:tcW w:w="780" w:type="dxa"/>
          </w:tcPr>
          <w:p w14:paraId="1E4A76F3"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Tlili (2023)</w:t>
            </w:r>
          </w:p>
        </w:tc>
        <w:tc>
          <w:tcPr>
            <w:tcW w:w="780" w:type="dxa"/>
          </w:tcPr>
          <w:p w14:paraId="29C21BD3"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65</w:t>
            </w:r>
          </w:p>
        </w:tc>
        <w:tc>
          <w:tcPr>
            <w:tcW w:w="780" w:type="dxa"/>
          </w:tcPr>
          <w:p w14:paraId="16B23570"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Tunisia</w:t>
            </w:r>
          </w:p>
        </w:tc>
        <w:tc>
          <w:tcPr>
            <w:tcW w:w="780" w:type="dxa"/>
          </w:tcPr>
          <w:p w14:paraId="4DB8BD9D"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434F052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UG</w:t>
            </w:r>
          </w:p>
        </w:tc>
        <w:tc>
          <w:tcPr>
            <w:tcW w:w="780" w:type="dxa"/>
          </w:tcPr>
          <w:p w14:paraId="49859032"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23F99EA4"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Other</w:t>
            </w:r>
          </w:p>
        </w:tc>
        <w:tc>
          <w:tcPr>
            <w:tcW w:w="780" w:type="dxa"/>
          </w:tcPr>
          <w:p w14:paraId="3A47B034"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BFI-44</w:t>
            </w:r>
          </w:p>
        </w:tc>
        <w:tc>
          <w:tcPr>
            <w:tcW w:w="780" w:type="dxa"/>
          </w:tcPr>
          <w:p w14:paraId="6B3F7E53"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navigational_behavior</w:t>
            </w:r>
          </w:p>
        </w:tc>
        <w:tc>
          <w:tcPr>
            <w:tcW w:w="780" w:type="dxa"/>
          </w:tcPr>
          <w:p w14:paraId="7DDE2245"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Exc</w:t>
            </w:r>
          </w:p>
        </w:tc>
        <w:tc>
          <w:tcPr>
            <w:tcW w:w="780" w:type="dxa"/>
          </w:tcPr>
          <w:p w14:paraId="4DD5B57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r>
      <w:tr w:rsidR="006A2C5A" w14:paraId="6911B1AF"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7161B6CB" w14:textId="77777777" w:rsidR="006A2C5A" w:rsidRDefault="00000000">
            <w:r>
              <w:rPr>
                <w:sz w:val="16"/>
              </w:rPr>
              <w:t>A-25</w:t>
            </w:r>
          </w:p>
        </w:tc>
        <w:tc>
          <w:tcPr>
            <w:tcW w:w="780" w:type="dxa"/>
          </w:tcPr>
          <w:p w14:paraId="4CAE8F31"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Tokiwa (2025)</w:t>
            </w:r>
          </w:p>
        </w:tc>
        <w:tc>
          <w:tcPr>
            <w:tcW w:w="780" w:type="dxa"/>
          </w:tcPr>
          <w:p w14:paraId="5FB837F8"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103</w:t>
            </w:r>
          </w:p>
        </w:tc>
        <w:tc>
          <w:tcPr>
            <w:tcW w:w="780" w:type="dxa"/>
          </w:tcPr>
          <w:p w14:paraId="394817E2"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Japan</w:t>
            </w:r>
          </w:p>
        </w:tc>
        <w:tc>
          <w:tcPr>
            <w:tcW w:w="780" w:type="dxa"/>
          </w:tcPr>
          <w:p w14:paraId="1DC91D6F"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477AE71E"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K-12</w:t>
            </w:r>
          </w:p>
        </w:tc>
        <w:tc>
          <w:tcPr>
            <w:tcW w:w="780" w:type="dxa"/>
          </w:tcPr>
          <w:p w14:paraId="510141CA"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post-COVID</w:t>
            </w:r>
          </w:p>
        </w:tc>
        <w:tc>
          <w:tcPr>
            <w:tcW w:w="780" w:type="dxa"/>
          </w:tcPr>
          <w:p w14:paraId="3845BEB2"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66B1841C"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BFI-2-J</w:t>
            </w:r>
          </w:p>
        </w:tc>
        <w:tc>
          <w:tcPr>
            <w:tcW w:w="780" w:type="dxa"/>
          </w:tcPr>
          <w:p w14:paraId="43261105"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test_completion</w:t>
            </w:r>
          </w:p>
        </w:tc>
        <w:tc>
          <w:tcPr>
            <w:tcW w:w="780" w:type="dxa"/>
          </w:tcPr>
          <w:p w14:paraId="2667C768"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Inc (COI)</w:t>
            </w:r>
          </w:p>
        </w:tc>
        <w:tc>
          <w:tcPr>
            <w:tcW w:w="780" w:type="dxa"/>
          </w:tcPr>
          <w:p w14:paraId="7659AB68"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A2C5A" w14:paraId="1614940D"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66DA7EFB" w14:textId="77777777" w:rsidR="006A2C5A" w:rsidRDefault="00000000">
            <w:r>
              <w:rPr>
                <w:sz w:val="16"/>
              </w:rPr>
              <w:t>A-26</w:t>
            </w:r>
          </w:p>
        </w:tc>
        <w:tc>
          <w:tcPr>
            <w:tcW w:w="780" w:type="dxa"/>
          </w:tcPr>
          <w:p w14:paraId="67465F6A"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Wang (2023)</w:t>
            </w:r>
          </w:p>
        </w:tc>
        <w:tc>
          <w:tcPr>
            <w:tcW w:w="780" w:type="dxa"/>
          </w:tcPr>
          <w:p w14:paraId="11C7457E"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1625</w:t>
            </w:r>
          </w:p>
        </w:tc>
        <w:tc>
          <w:tcPr>
            <w:tcW w:w="780" w:type="dxa"/>
          </w:tcPr>
          <w:p w14:paraId="24C1C06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37FEE9CA"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495BB0F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K-12</w:t>
            </w:r>
          </w:p>
        </w:tc>
        <w:tc>
          <w:tcPr>
            <w:tcW w:w="780" w:type="dxa"/>
          </w:tcPr>
          <w:p w14:paraId="5DA0D19D"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post-COVID</w:t>
            </w:r>
          </w:p>
        </w:tc>
        <w:tc>
          <w:tcPr>
            <w:tcW w:w="780" w:type="dxa"/>
          </w:tcPr>
          <w:p w14:paraId="7D9664B9"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0DA3149B"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Chinese Big Five</w:t>
            </w:r>
          </w:p>
        </w:tc>
        <w:tc>
          <w:tcPr>
            <w:tcW w:w="780" w:type="dxa"/>
          </w:tcPr>
          <w:p w14:paraId="445A3A7A"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achievement_self_report</w:t>
            </w:r>
          </w:p>
        </w:tc>
        <w:tc>
          <w:tcPr>
            <w:tcW w:w="780" w:type="dxa"/>
          </w:tcPr>
          <w:p w14:paraId="54822EB0"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21460402"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A2C5A" w14:paraId="4B355436"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2E80699A" w14:textId="77777777" w:rsidR="006A2C5A" w:rsidRDefault="00000000">
            <w:r>
              <w:rPr>
                <w:sz w:val="16"/>
              </w:rPr>
              <w:t>A-27</w:t>
            </w:r>
          </w:p>
        </w:tc>
        <w:tc>
          <w:tcPr>
            <w:tcW w:w="780" w:type="dxa"/>
          </w:tcPr>
          <w:p w14:paraId="0F5FF93D"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Wu_Yu (2024)</w:t>
            </w:r>
          </w:p>
        </w:tc>
        <w:tc>
          <w:tcPr>
            <w:tcW w:w="780" w:type="dxa"/>
          </w:tcPr>
          <w:p w14:paraId="6FE946CA"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1004</w:t>
            </w:r>
          </w:p>
        </w:tc>
        <w:tc>
          <w:tcPr>
            <w:tcW w:w="780" w:type="dxa"/>
          </w:tcPr>
          <w:p w14:paraId="634DA4F9"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China</w:t>
            </w:r>
          </w:p>
        </w:tc>
        <w:tc>
          <w:tcPr>
            <w:tcW w:w="780" w:type="dxa"/>
          </w:tcPr>
          <w:p w14:paraId="34BECC62"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e_learning</w:t>
            </w:r>
          </w:p>
        </w:tc>
        <w:tc>
          <w:tcPr>
            <w:tcW w:w="780" w:type="dxa"/>
          </w:tcPr>
          <w:p w14:paraId="16B3A2F9"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047FD5FF"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780" w:type="dxa"/>
          </w:tcPr>
          <w:p w14:paraId="37413935"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780" w:type="dxa"/>
          </w:tcPr>
          <w:p w14:paraId="5C3C681D"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Big Five</w:t>
            </w:r>
          </w:p>
        </w:tc>
        <w:tc>
          <w:tcPr>
            <w:tcW w:w="780" w:type="dxa"/>
          </w:tcPr>
          <w:p w14:paraId="147313C7"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engagement</w:t>
            </w:r>
          </w:p>
        </w:tc>
        <w:tc>
          <w:tcPr>
            <w:tcW w:w="780" w:type="dxa"/>
          </w:tcPr>
          <w:p w14:paraId="1DCA7AB5"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780" w:type="dxa"/>
          </w:tcPr>
          <w:p w14:paraId="7BD23B2E"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w:t>
            </w:r>
          </w:p>
        </w:tc>
      </w:tr>
      <w:tr w:rsidR="006A2C5A" w14:paraId="03B03028"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7EC893C" w14:textId="77777777" w:rsidR="006A2C5A" w:rsidRDefault="00000000">
            <w:r>
              <w:rPr>
                <w:sz w:val="16"/>
              </w:rPr>
              <w:t>A-28</w:t>
            </w:r>
          </w:p>
        </w:tc>
        <w:tc>
          <w:tcPr>
            <w:tcW w:w="780" w:type="dxa"/>
          </w:tcPr>
          <w:p w14:paraId="2859B909"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Yu (2021)</w:t>
            </w:r>
          </w:p>
        </w:tc>
        <w:tc>
          <w:tcPr>
            <w:tcW w:w="780" w:type="dxa"/>
          </w:tcPr>
          <w:p w14:paraId="151C59E0"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1152</w:t>
            </w:r>
          </w:p>
        </w:tc>
        <w:tc>
          <w:tcPr>
            <w:tcW w:w="780" w:type="dxa"/>
          </w:tcPr>
          <w:p w14:paraId="7BB0A46A"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China</w:t>
            </w:r>
          </w:p>
        </w:tc>
        <w:tc>
          <w:tcPr>
            <w:tcW w:w="780" w:type="dxa"/>
          </w:tcPr>
          <w:p w14:paraId="42A05FA2"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1D819DB3"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108B9952"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5685A898"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Asia</w:t>
            </w:r>
          </w:p>
        </w:tc>
        <w:tc>
          <w:tcPr>
            <w:tcW w:w="780" w:type="dxa"/>
          </w:tcPr>
          <w:p w14:paraId="60A1A5D6"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Big Five Scale (McCrae)</w:t>
            </w:r>
          </w:p>
        </w:tc>
        <w:tc>
          <w:tcPr>
            <w:tcW w:w="780" w:type="dxa"/>
          </w:tcPr>
          <w:p w14:paraId="3463DBAF"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MOOC_composite</w:t>
            </w:r>
          </w:p>
        </w:tc>
        <w:tc>
          <w:tcPr>
            <w:tcW w:w="780" w:type="dxa"/>
          </w:tcPr>
          <w:p w14:paraId="75EF935A"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02F4C82E"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7</w:t>
            </w:r>
          </w:p>
        </w:tc>
      </w:tr>
      <w:tr w:rsidR="006A2C5A" w14:paraId="141BB0F2"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19341ECA" w14:textId="77777777" w:rsidR="006A2C5A" w:rsidRDefault="00000000">
            <w:r>
              <w:rPr>
                <w:sz w:val="16"/>
              </w:rPr>
              <w:t>A-29</w:t>
            </w:r>
          </w:p>
        </w:tc>
        <w:tc>
          <w:tcPr>
            <w:tcW w:w="780" w:type="dxa"/>
          </w:tcPr>
          <w:p w14:paraId="7F8DF4F3"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Bahcekapili (2020)</w:t>
            </w:r>
          </w:p>
        </w:tc>
        <w:tc>
          <w:tcPr>
            <w:tcW w:w="780" w:type="dxa"/>
          </w:tcPr>
          <w:p w14:paraId="03FB0D79"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525</w:t>
            </w:r>
          </w:p>
        </w:tc>
        <w:tc>
          <w:tcPr>
            <w:tcW w:w="780" w:type="dxa"/>
          </w:tcPr>
          <w:p w14:paraId="51408823"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Turkey</w:t>
            </w:r>
          </w:p>
        </w:tc>
        <w:tc>
          <w:tcPr>
            <w:tcW w:w="780" w:type="dxa"/>
          </w:tcPr>
          <w:p w14:paraId="33B394DC"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0B629637"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60296ABC"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pre-COVID</w:t>
            </w:r>
          </w:p>
        </w:tc>
        <w:tc>
          <w:tcPr>
            <w:tcW w:w="780" w:type="dxa"/>
          </w:tcPr>
          <w:p w14:paraId="2FF09553"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Europe</w:t>
            </w:r>
          </w:p>
        </w:tc>
        <w:tc>
          <w:tcPr>
            <w:tcW w:w="780" w:type="dxa"/>
          </w:tcPr>
          <w:p w14:paraId="3B9D61A0"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BFI-44 Turkish</w:t>
            </w:r>
          </w:p>
        </w:tc>
        <w:tc>
          <w:tcPr>
            <w:tcW w:w="780" w:type="dxa"/>
          </w:tcPr>
          <w:p w14:paraId="1FB7141D"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GPA</w:t>
            </w:r>
          </w:p>
        </w:tc>
        <w:tc>
          <w:tcPr>
            <w:tcW w:w="780" w:type="dxa"/>
          </w:tcPr>
          <w:p w14:paraId="4D8B5FF8"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Inc-pri</w:t>
            </w:r>
          </w:p>
        </w:tc>
        <w:tc>
          <w:tcPr>
            <w:tcW w:w="780" w:type="dxa"/>
          </w:tcPr>
          <w:p w14:paraId="76ED9936"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A2C5A" w14:paraId="76267C00"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055FDF00" w14:textId="77777777" w:rsidR="006A2C5A" w:rsidRDefault="00000000">
            <w:r>
              <w:rPr>
                <w:sz w:val="16"/>
              </w:rPr>
              <w:t>A-30</w:t>
            </w:r>
          </w:p>
        </w:tc>
        <w:tc>
          <w:tcPr>
            <w:tcW w:w="780" w:type="dxa"/>
          </w:tcPr>
          <w:p w14:paraId="49FAC77C"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Kaspar (2023)</w:t>
            </w:r>
          </w:p>
        </w:tc>
        <w:tc>
          <w:tcPr>
            <w:tcW w:w="780" w:type="dxa"/>
          </w:tcPr>
          <w:p w14:paraId="34C3BAA3"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413</w:t>
            </w:r>
          </w:p>
        </w:tc>
        <w:tc>
          <w:tcPr>
            <w:tcW w:w="780" w:type="dxa"/>
          </w:tcPr>
          <w:p w14:paraId="53DBC9D8"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Germany</w:t>
            </w:r>
          </w:p>
        </w:tc>
        <w:tc>
          <w:tcPr>
            <w:tcW w:w="780" w:type="dxa"/>
          </w:tcPr>
          <w:p w14:paraId="31DB3A03"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424D5710"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UG/Grad</w:t>
            </w:r>
          </w:p>
        </w:tc>
        <w:tc>
          <w:tcPr>
            <w:tcW w:w="780" w:type="dxa"/>
          </w:tcPr>
          <w:p w14:paraId="2C11CFB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COVID</w:t>
            </w:r>
          </w:p>
        </w:tc>
        <w:tc>
          <w:tcPr>
            <w:tcW w:w="780" w:type="dxa"/>
          </w:tcPr>
          <w:p w14:paraId="425A5D39"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Europe</w:t>
            </w:r>
          </w:p>
        </w:tc>
        <w:tc>
          <w:tcPr>
            <w:tcW w:w="780" w:type="dxa"/>
          </w:tcPr>
          <w:p w14:paraId="1FB720F6"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BFI-S German</w:t>
            </w:r>
          </w:p>
        </w:tc>
        <w:tc>
          <w:tcPr>
            <w:tcW w:w="780" w:type="dxa"/>
          </w:tcPr>
          <w:p w14:paraId="4F783B42"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performance_self_rated</w:t>
            </w:r>
          </w:p>
        </w:tc>
        <w:tc>
          <w:tcPr>
            <w:tcW w:w="780" w:type="dxa"/>
          </w:tcPr>
          <w:p w14:paraId="52862E2A"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00A5DD46"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r>
      <w:tr w:rsidR="006A2C5A" w14:paraId="18C17E95"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3D700755" w14:textId="77777777" w:rsidR="006A2C5A" w:rsidRDefault="00000000">
            <w:r>
              <w:rPr>
                <w:sz w:val="16"/>
              </w:rPr>
              <w:t>A-31</w:t>
            </w:r>
          </w:p>
        </w:tc>
        <w:tc>
          <w:tcPr>
            <w:tcW w:w="780" w:type="dxa"/>
          </w:tcPr>
          <w:p w14:paraId="0DD62C83"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Rivers (2021)</w:t>
            </w:r>
          </w:p>
        </w:tc>
        <w:tc>
          <w:tcPr>
            <w:tcW w:w="780" w:type="dxa"/>
          </w:tcPr>
          <w:p w14:paraId="6C764EE4"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149</w:t>
            </w:r>
          </w:p>
        </w:tc>
        <w:tc>
          <w:tcPr>
            <w:tcW w:w="780" w:type="dxa"/>
          </w:tcPr>
          <w:p w14:paraId="11BD6E9A"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Japan</w:t>
            </w:r>
          </w:p>
        </w:tc>
        <w:tc>
          <w:tcPr>
            <w:tcW w:w="780" w:type="dxa"/>
          </w:tcPr>
          <w:p w14:paraId="2B48C178"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Online</w:t>
            </w:r>
          </w:p>
        </w:tc>
        <w:tc>
          <w:tcPr>
            <w:tcW w:w="780" w:type="dxa"/>
          </w:tcPr>
          <w:p w14:paraId="2132E2ED"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UG</w:t>
            </w:r>
          </w:p>
        </w:tc>
        <w:tc>
          <w:tcPr>
            <w:tcW w:w="780" w:type="dxa"/>
          </w:tcPr>
          <w:p w14:paraId="383858C4"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COVID</w:t>
            </w:r>
          </w:p>
        </w:tc>
        <w:tc>
          <w:tcPr>
            <w:tcW w:w="780" w:type="dxa"/>
          </w:tcPr>
          <w:p w14:paraId="64B239A8"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Asia</w:t>
            </w:r>
          </w:p>
        </w:tc>
        <w:tc>
          <w:tcPr>
            <w:tcW w:w="780" w:type="dxa"/>
          </w:tcPr>
          <w:p w14:paraId="245AD5CC"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TIPI-J</w:t>
            </w:r>
          </w:p>
        </w:tc>
        <w:tc>
          <w:tcPr>
            <w:tcW w:w="780" w:type="dxa"/>
          </w:tcPr>
          <w:p w14:paraId="4BC8BEF0"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course_grade</w:t>
            </w:r>
          </w:p>
        </w:tc>
        <w:tc>
          <w:tcPr>
            <w:tcW w:w="780" w:type="dxa"/>
          </w:tcPr>
          <w:p w14:paraId="6F51D021"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Inc-pri</w:t>
            </w:r>
          </w:p>
        </w:tc>
        <w:tc>
          <w:tcPr>
            <w:tcW w:w="780" w:type="dxa"/>
          </w:tcPr>
          <w:p w14:paraId="30AA851D" w14:textId="77777777" w:rsidR="006A2C5A"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A2C5A" w14:paraId="499ED4A9"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0" w:type="dxa"/>
          </w:tcPr>
          <w:p w14:paraId="5221D3D3" w14:textId="77777777" w:rsidR="006A2C5A" w:rsidRDefault="00000000">
            <w:r>
              <w:rPr>
                <w:sz w:val="16"/>
              </w:rPr>
              <w:t>A-37</w:t>
            </w:r>
          </w:p>
        </w:tc>
        <w:tc>
          <w:tcPr>
            <w:tcW w:w="780" w:type="dxa"/>
          </w:tcPr>
          <w:p w14:paraId="76C81A3E"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Zheng (2023)</w:t>
            </w:r>
          </w:p>
        </w:tc>
        <w:tc>
          <w:tcPr>
            <w:tcW w:w="780" w:type="dxa"/>
          </w:tcPr>
          <w:p w14:paraId="75A3BF7F"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282</w:t>
            </w:r>
          </w:p>
        </w:tc>
        <w:tc>
          <w:tcPr>
            <w:tcW w:w="780" w:type="dxa"/>
          </w:tcPr>
          <w:p w14:paraId="25F65876"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US</w:t>
            </w:r>
          </w:p>
        </w:tc>
        <w:tc>
          <w:tcPr>
            <w:tcW w:w="780" w:type="dxa"/>
          </w:tcPr>
          <w:p w14:paraId="76AC5AF0"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Online</w:t>
            </w:r>
          </w:p>
        </w:tc>
        <w:tc>
          <w:tcPr>
            <w:tcW w:w="780" w:type="dxa"/>
          </w:tcPr>
          <w:p w14:paraId="4D29B29B"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Grad</w:t>
            </w:r>
          </w:p>
        </w:tc>
        <w:tc>
          <w:tcPr>
            <w:tcW w:w="780" w:type="dxa"/>
          </w:tcPr>
          <w:p w14:paraId="53B5C33E"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Mixed_3era</w:t>
            </w:r>
          </w:p>
        </w:tc>
        <w:tc>
          <w:tcPr>
            <w:tcW w:w="780" w:type="dxa"/>
          </w:tcPr>
          <w:p w14:paraId="7F1000AE"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North_America</w:t>
            </w:r>
          </w:p>
        </w:tc>
        <w:tc>
          <w:tcPr>
            <w:tcW w:w="780" w:type="dxa"/>
          </w:tcPr>
          <w:p w14:paraId="23F70747"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TIPI</w:t>
            </w:r>
          </w:p>
        </w:tc>
        <w:tc>
          <w:tcPr>
            <w:tcW w:w="780" w:type="dxa"/>
          </w:tcPr>
          <w:p w14:paraId="56DEF034"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course_grade</w:t>
            </w:r>
          </w:p>
        </w:tc>
        <w:tc>
          <w:tcPr>
            <w:tcW w:w="780" w:type="dxa"/>
          </w:tcPr>
          <w:p w14:paraId="41B1EAAF"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Inc-pri*</w:t>
            </w:r>
          </w:p>
        </w:tc>
        <w:tc>
          <w:tcPr>
            <w:tcW w:w="780" w:type="dxa"/>
          </w:tcPr>
          <w:p w14:paraId="618515B6" w14:textId="77777777" w:rsidR="006A2C5A"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r>
    </w:tbl>
    <w:p w14:paraId="6D5146A9" w14:textId="77777777" w:rsidR="006A2C5A" w:rsidRDefault="00000000">
      <w:pPr>
        <w:spacing w:after="0" w:line="480" w:lineRule="auto"/>
      </w:pPr>
      <w:r>
        <w:lastRenderedPageBreak/>
        <w:t xml:space="preserve">Note. ID = study identifier in the deep-reading-notes ledger (A-XX sequence). </w:t>
      </w:r>
      <w:r>
        <w:rPr>
          <w:i/>
        </w:rPr>
        <w:t>N</w:t>
      </w:r>
      <w: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i/>
        </w:rPr>
        <w:t>k</w:t>
      </w:r>
      <w: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i/>
        </w:rPr>
        <w:t>r</w:t>
      </w:r>
      <w: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w:t>
      </w:r>
      <w:r>
        <w:lastRenderedPageBreak/>
        <w:t>studies whose original bibliographic metadata differed from the verified author, year, or country (A-06, A-07, A-08, A-12, A-13, A-16, A-18, A-20) are provided in the OSF project (Supplementary Material).</w:t>
      </w:r>
    </w:p>
    <w:p w14:paraId="6210B77B" w14:textId="77777777" w:rsidR="006A2C5A" w:rsidRDefault="00000000">
      <w:r>
        <w:br w:type="page"/>
      </w:r>
    </w:p>
    <w:p w14:paraId="365BCDB7" w14:textId="77777777" w:rsidR="006A2C5A" w:rsidRDefault="00000000">
      <w:pPr>
        <w:spacing w:after="0" w:line="480" w:lineRule="auto"/>
      </w:pPr>
      <w:r>
        <w:rPr>
          <w:b/>
        </w:rPr>
        <w:lastRenderedPageBreak/>
        <w:t>Table 2</w:t>
      </w:r>
    </w:p>
    <w:p w14:paraId="7AEFABC3" w14:textId="77777777" w:rsidR="006A2C5A" w:rsidRDefault="00000000">
      <w:pPr>
        <w:spacing w:after="0" w:line="480" w:lineRule="auto"/>
      </w:pPr>
      <w:r>
        <w:rPr>
          <w:i/>
        </w:rPr>
        <w:t>Random-Effects Pooled Correlations Between Big Five Personality Traits and Academic Achievement in Online Learning Environments</w:t>
      </w:r>
    </w:p>
    <w:tbl>
      <w:tblPr>
        <w:tblStyle w:val="38"/>
        <w:tblW w:w="0" w:type="auto"/>
        <w:tblLook w:val="04A0" w:firstRow="1" w:lastRow="0" w:firstColumn="1" w:lastColumn="0" w:noHBand="0" w:noVBand="1"/>
      </w:tblPr>
      <w:tblGrid>
        <w:gridCol w:w="1762"/>
        <w:gridCol w:w="691"/>
        <w:gridCol w:w="831"/>
        <w:gridCol w:w="775"/>
        <w:gridCol w:w="1262"/>
        <w:gridCol w:w="1262"/>
        <w:gridCol w:w="868"/>
        <w:gridCol w:w="775"/>
        <w:gridCol w:w="1350"/>
      </w:tblGrid>
      <w:tr w:rsidR="006A2C5A" w14:paraId="3349A089" w14:textId="77777777" w:rsidTr="006A2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579D4037" w14:textId="77777777" w:rsidR="006A2C5A" w:rsidRDefault="00000000">
            <w:pPr>
              <w:spacing w:line="276" w:lineRule="auto"/>
            </w:pPr>
            <w:r>
              <w:rPr>
                <w:sz w:val="20"/>
              </w:rPr>
              <w:t>Trait</w:t>
            </w:r>
          </w:p>
        </w:tc>
        <w:tc>
          <w:tcPr>
            <w:tcW w:w="1040" w:type="dxa"/>
          </w:tcPr>
          <w:p w14:paraId="46B558DE"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k</w:t>
            </w:r>
          </w:p>
        </w:tc>
        <w:tc>
          <w:tcPr>
            <w:tcW w:w="1040" w:type="dxa"/>
          </w:tcPr>
          <w:p w14:paraId="361F2327"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N</w:t>
            </w:r>
          </w:p>
        </w:tc>
        <w:tc>
          <w:tcPr>
            <w:tcW w:w="1040" w:type="dxa"/>
          </w:tcPr>
          <w:p w14:paraId="63945539"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w:t>
            </w:r>
          </w:p>
        </w:tc>
        <w:tc>
          <w:tcPr>
            <w:tcW w:w="1040" w:type="dxa"/>
          </w:tcPr>
          <w:p w14:paraId="4C96658A"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95% CI</w:t>
            </w:r>
          </w:p>
        </w:tc>
        <w:tc>
          <w:tcPr>
            <w:tcW w:w="1040" w:type="dxa"/>
          </w:tcPr>
          <w:p w14:paraId="40C2464F"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95% PI</w:t>
            </w:r>
          </w:p>
        </w:tc>
        <w:tc>
          <w:tcPr>
            <w:tcW w:w="1040" w:type="dxa"/>
          </w:tcPr>
          <w:p w14:paraId="7810231B"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I²</w:t>
            </w:r>
          </w:p>
        </w:tc>
        <w:tc>
          <w:tcPr>
            <w:tcW w:w="1040" w:type="dxa"/>
          </w:tcPr>
          <w:p w14:paraId="1E1FBDEB"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τ²</w:t>
            </w:r>
          </w:p>
        </w:tc>
        <w:tc>
          <w:tcPr>
            <w:tcW w:w="1040" w:type="dxa"/>
          </w:tcPr>
          <w:p w14:paraId="42C5A4A2"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t>Q(</w:t>
            </w:r>
            <w:r>
              <w:rPr>
                <w:i/>
              </w:rPr>
              <w:t>df</w:t>
            </w:r>
            <w:r>
              <w:t xml:space="preserve">), </w:t>
            </w:r>
            <w:r>
              <w:rPr>
                <w:i/>
              </w:rPr>
              <w:t>p</w:t>
            </w:r>
          </w:p>
        </w:tc>
      </w:tr>
      <w:tr w:rsidR="006A2C5A" w14:paraId="7B85E3C7"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2AA07EC3" w14:textId="77777777" w:rsidR="006A2C5A" w:rsidRDefault="00000000">
            <w:pPr>
              <w:spacing w:line="276" w:lineRule="auto"/>
            </w:pPr>
            <w:r>
              <w:rPr>
                <w:sz w:val="20"/>
              </w:rPr>
              <w:t>Conscientiousness</w:t>
            </w:r>
          </w:p>
        </w:tc>
        <w:tc>
          <w:tcPr>
            <w:tcW w:w="1040" w:type="dxa"/>
          </w:tcPr>
          <w:p w14:paraId="6A2BD441"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w:t>
            </w:r>
          </w:p>
        </w:tc>
        <w:tc>
          <w:tcPr>
            <w:tcW w:w="1040" w:type="dxa"/>
          </w:tcPr>
          <w:p w14:paraId="2E7AC484"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3,384</w:t>
            </w:r>
          </w:p>
        </w:tc>
        <w:tc>
          <w:tcPr>
            <w:tcW w:w="1040" w:type="dxa"/>
          </w:tcPr>
          <w:p w14:paraId="36D1BBF1"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.167</w:t>
            </w:r>
          </w:p>
        </w:tc>
        <w:tc>
          <w:tcPr>
            <w:tcW w:w="1040" w:type="dxa"/>
          </w:tcPr>
          <w:p w14:paraId="2723EB0A"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[.089, .243]</w:t>
            </w:r>
          </w:p>
        </w:tc>
        <w:tc>
          <w:tcPr>
            <w:tcW w:w="1040" w:type="dxa"/>
          </w:tcPr>
          <w:p w14:paraId="27FC93FC"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[−.020, .343]</w:t>
            </w:r>
          </w:p>
        </w:tc>
        <w:tc>
          <w:tcPr>
            <w:tcW w:w="1040" w:type="dxa"/>
          </w:tcPr>
          <w:p w14:paraId="1FC5EA9D"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65.1%</w:t>
            </w:r>
          </w:p>
        </w:tc>
        <w:tc>
          <w:tcPr>
            <w:tcW w:w="1040" w:type="dxa"/>
          </w:tcPr>
          <w:p w14:paraId="06C64821"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.006</w:t>
            </w:r>
          </w:p>
        </w:tc>
        <w:tc>
          <w:tcPr>
            <w:tcW w:w="1040" w:type="dxa"/>
          </w:tcPr>
          <w:p w14:paraId="7FC9CB36"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25.79(9), .002</w:t>
            </w:r>
          </w:p>
        </w:tc>
      </w:tr>
      <w:tr w:rsidR="006A2C5A" w14:paraId="1A980BBD"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5A805196" w14:textId="77777777" w:rsidR="006A2C5A" w:rsidRDefault="00000000">
            <w:pPr>
              <w:spacing w:line="276" w:lineRule="auto"/>
            </w:pPr>
            <w:r>
              <w:rPr>
                <w:sz w:val="20"/>
              </w:rPr>
              <w:t>Agreeableness</w:t>
            </w:r>
          </w:p>
        </w:tc>
        <w:tc>
          <w:tcPr>
            <w:tcW w:w="1040" w:type="dxa"/>
          </w:tcPr>
          <w:p w14:paraId="07C6D0EC"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040" w:type="dxa"/>
          </w:tcPr>
          <w:p w14:paraId="714990A6"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3,363</w:t>
            </w:r>
          </w:p>
        </w:tc>
        <w:tc>
          <w:tcPr>
            <w:tcW w:w="1040" w:type="dxa"/>
          </w:tcPr>
          <w:p w14:paraId="2E3F22DF"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.112</w:t>
            </w:r>
          </w:p>
        </w:tc>
        <w:tc>
          <w:tcPr>
            <w:tcW w:w="1040" w:type="dxa"/>
          </w:tcPr>
          <w:p w14:paraId="47299483"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[−.031, .250]</w:t>
            </w:r>
          </w:p>
        </w:tc>
        <w:tc>
          <w:tcPr>
            <w:tcW w:w="1040" w:type="dxa"/>
          </w:tcPr>
          <w:p w14:paraId="213334B7"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[−.310, .496]</w:t>
            </w:r>
          </w:p>
        </w:tc>
        <w:tc>
          <w:tcPr>
            <w:tcW w:w="1040" w:type="dxa"/>
          </w:tcPr>
          <w:p w14:paraId="447A2320"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96.2%</w:t>
            </w:r>
          </w:p>
        </w:tc>
        <w:tc>
          <w:tcPr>
            <w:tcW w:w="1040" w:type="dxa"/>
          </w:tcPr>
          <w:p w14:paraId="1CA269E1"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.030</w:t>
            </w:r>
          </w:p>
        </w:tc>
        <w:tc>
          <w:tcPr>
            <w:tcW w:w="1040" w:type="dxa"/>
          </w:tcPr>
          <w:p w14:paraId="1DC49BC1"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208.49(8), &lt;.001</w:t>
            </w:r>
          </w:p>
        </w:tc>
      </w:tr>
      <w:tr w:rsidR="006A2C5A" w14:paraId="281BBB29"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56071638" w14:textId="77777777" w:rsidR="006A2C5A" w:rsidRDefault="00000000">
            <w:pPr>
              <w:spacing w:line="276" w:lineRule="auto"/>
            </w:pPr>
            <w:r>
              <w:rPr>
                <w:sz w:val="20"/>
              </w:rPr>
              <w:t>Openness</w:t>
            </w:r>
          </w:p>
        </w:tc>
        <w:tc>
          <w:tcPr>
            <w:tcW w:w="1040" w:type="dxa"/>
          </w:tcPr>
          <w:p w14:paraId="68EC43E6"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040" w:type="dxa"/>
          </w:tcPr>
          <w:p w14:paraId="4AF5BB6D"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3,363</w:t>
            </w:r>
          </w:p>
        </w:tc>
        <w:tc>
          <w:tcPr>
            <w:tcW w:w="1040" w:type="dxa"/>
          </w:tcPr>
          <w:p w14:paraId="50241B84"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.086</w:t>
            </w:r>
          </w:p>
        </w:tc>
        <w:tc>
          <w:tcPr>
            <w:tcW w:w="1040" w:type="dxa"/>
          </w:tcPr>
          <w:p w14:paraId="14406568"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[−.044, .214]</w:t>
            </w:r>
          </w:p>
        </w:tc>
        <w:tc>
          <w:tcPr>
            <w:tcW w:w="1040" w:type="dxa"/>
          </w:tcPr>
          <w:p w14:paraId="057F0114"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[−.273, .425]</w:t>
            </w:r>
          </w:p>
        </w:tc>
        <w:tc>
          <w:tcPr>
            <w:tcW w:w="1040" w:type="dxa"/>
          </w:tcPr>
          <w:p w14:paraId="74591BE0"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92.0%</w:t>
            </w:r>
          </w:p>
        </w:tc>
        <w:tc>
          <w:tcPr>
            <w:tcW w:w="1040" w:type="dxa"/>
          </w:tcPr>
          <w:p w14:paraId="198F68BF"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.021</w:t>
            </w:r>
          </w:p>
        </w:tc>
        <w:tc>
          <w:tcPr>
            <w:tcW w:w="1040" w:type="dxa"/>
          </w:tcPr>
          <w:p w14:paraId="2DB23158"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100.17(8), &lt;.001</w:t>
            </w:r>
          </w:p>
        </w:tc>
      </w:tr>
      <w:tr w:rsidR="006A2C5A" w14:paraId="3FD99779"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4AE7E498" w14:textId="77777777" w:rsidR="006A2C5A" w:rsidRDefault="00000000">
            <w:pPr>
              <w:spacing w:line="276" w:lineRule="auto"/>
            </w:pPr>
            <w:r>
              <w:rPr>
                <w:sz w:val="20"/>
              </w:rPr>
              <w:t>Neuroticism</w:t>
            </w:r>
          </w:p>
        </w:tc>
        <w:tc>
          <w:tcPr>
            <w:tcW w:w="1040" w:type="dxa"/>
          </w:tcPr>
          <w:p w14:paraId="3D3966BF"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040" w:type="dxa"/>
          </w:tcPr>
          <w:p w14:paraId="5E278AD2"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3,384</w:t>
            </w:r>
          </w:p>
        </w:tc>
        <w:tc>
          <w:tcPr>
            <w:tcW w:w="1040" w:type="dxa"/>
          </w:tcPr>
          <w:p w14:paraId="2E058789"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.018</w:t>
            </w:r>
          </w:p>
        </w:tc>
        <w:tc>
          <w:tcPr>
            <w:tcW w:w="1040" w:type="dxa"/>
          </w:tcPr>
          <w:p w14:paraId="252D662B"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[−.079, .114]</w:t>
            </w:r>
          </w:p>
        </w:tc>
        <w:tc>
          <w:tcPr>
            <w:tcW w:w="1040" w:type="dxa"/>
          </w:tcPr>
          <w:p w14:paraId="59B53977"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[−.229, .263]</w:t>
            </w:r>
          </w:p>
        </w:tc>
        <w:tc>
          <w:tcPr>
            <w:tcW w:w="1040" w:type="dxa"/>
          </w:tcPr>
          <w:p w14:paraId="186A6CC4"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79.0%</w:t>
            </w:r>
          </w:p>
        </w:tc>
        <w:tc>
          <w:tcPr>
            <w:tcW w:w="1040" w:type="dxa"/>
          </w:tcPr>
          <w:p w14:paraId="45DB4936"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.010</w:t>
            </w:r>
          </w:p>
        </w:tc>
        <w:tc>
          <w:tcPr>
            <w:tcW w:w="1040" w:type="dxa"/>
          </w:tcPr>
          <w:p w14:paraId="08946454"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42.76(9), &lt;.001</w:t>
            </w:r>
          </w:p>
        </w:tc>
      </w:tr>
      <w:tr w:rsidR="006A2C5A" w14:paraId="27519282"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0" w:type="dxa"/>
          </w:tcPr>
          <w:p w14:paraId="1994D633" w14:textId="77777777" w:rsidR="006A2C5A" w:rsidRDefault="00000000">
            <w:pPr>
              <w:spacing w:line="276" w:lineRule="auto"/>
            </w:pPr>
            <w:r>
              <w:rPr>
                <w:sz w:val="20"/>
              </w:rPr>
              <w:t>Extraversion</w:t>
            </w:r>
          </w:p>
        </w:tc>
        <w:tc>
          <w:tcPr>
            <w:tcW w:w="1040" w:type="dxa"/>
          </w:tcPr>
          <w:p w14:paraId="7DEA22D0"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040" w:type="dxa"/>
          </w:tcPr>
          <w:p w14:paraId="1A467FEC"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3,363</w:t>
            </w:r>
          </w:p>
        </w:tc>
        <w:tc>
          <w:tcPr>
            <w:tcW w:w="1040" w:type="dxa"/>
          </w:tcPr>
          <w:p w14:paraId="1DA64C0A"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.002</w:t>
            </w:r>
          </w:p>
        </w:tc>
        <w:tc>
          <w:tcPr>
            <w:tcW w:w="1040" w:type="dxa"/>
          </w:tcPr>
          <w:p w14:paraId="0FBFE42B"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[−.076, .080]</w:t>
            </w:r>
          </w:p>
        </w:tc>
        <w:tc>
          <w:tcPr>
            <w:tcW w:w="1040" w:type="dxa"/>
          </w:tcPr>
          <w:p w14:paraId="4FA0F281"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[−.195, .200]</w:t>
            </w:r>
          </w:p>
        </w:tc>
        <w:tc>
          <w:tcPr>
            <w:tcW w:w="1040" w:type="dxa"/>
          </w:tcPr>
          <w:p w14:paraId="6C841122"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75.5%</w:t>
            </w:r>
          </w:p>
        </w:tc>
        <w:tc>
          <w:tcPr>
            <w:tcW w:w="1040" w:type="dxa"/>
          </w:tcPr>
          <w:p w14:paraId="21923020"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.006</w:t>
            </w:r>
          </w:p>
        </w:tc>
        <w:tc>
          <w:tcPr>
            <w:tcW w:w="1040" w:type="dxa"/>
          </w:tcPr>
          <w:p w14:paraId="004D0F53"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32.66(8), &lt;.001</w:t>
            </w:r>
          </w:p>
        </w:tc>
      </w:tr>
    </w:tbl>
    <w:p w14:paraId="7F6E5745" w14:textId="77777777" w:rsidR="006A2C5A" w:rsidRDefault="00000000">
      <w:pPr>
        <w:spacing w:after="0" w:line="480" w:lineRule="auto"/>
      </w:pPr>
      <w:r>
        <w:t xml:space="preserve">Note. </w:t>
      </w:r>
      <w:r>
        <w:rPr>
          <w:i/>
        </w:rPr>
        <w:t>k</w:t>
      </w:r>
      <w:r>
        <w:t xml:space="preserve"> = number of independent samples contributing a direct Pearson </w:t>
      </w:r>
      <w:r>
        <w:rPr>
          <w:i/>
        </w:rPr>
        <w:t>r</w:t>
      </w:r>
      <w:r>
        <w:t xml:space="preserve"> or Peterson-Brown-converted </w:t>
      </w:r>
      <w:r>
        <w:rPr>
          <w:i/>
        </w:rPr>
        <w:t>β</w:t>
      </w:r>
      <w:r>
        <w:t xml:space="preserve"> to the trait pool. </w:t>
      </w:r>
      <w:r>
        <w:rPr>
          <w:i/>
        </w:rPr>
        <w:t>N</w:t>
      </w:r>
      <w:r>
        <w:t xml:space="preserve"> = total pooled sample size. </w:t>
      </w:r>
      <w:r>
        <w:rPr>
          <w:i/>
        </w:rPr>
        <w:t>r</w:t>
      </w:r>
      <w:r>
        <w:t xml:space="preserve"> = random-effects REML pooled correlation on the Fisher </w:t>
      </w:r>
      <w:r>
        <w:rPr>
          <w:i/>
        </w:rPr>
        <w:t>z</w:t>
      </w:r>
      <w:r>
        <w:t xml:space="preserve"> scale, back-transformed to </w:t>
      </w:r>
      <w:r>
        <w:rPr>
          <w:i/>
        </w:rPr>
        <w:t>r</w:t>
      </w:r>
      <w:r>
        <w:t xml:space="preserve"> for display. 95% CI = Hartung-Knapp-Sidik-Jonkman–adjusted confidence interval. 95% PI = prediction interval for true effects in a new study. </w:t>
      </w:r>
      <w:r>
        <w:rPr>
          <w:i/>
        </w:rPr>
        <w:t>I²</w:t>
      </w:r>
      <w:r>
        <w:t xml:space="preserve"> = Higgins &amp; Thompson's heterogeneity index. </w:t>
      </w:r>
      <w:r>
        <w:rPr>
          <w:i/>
        </w:rPr>
        <w:t>τ²</w:t>
      </w:r>
      <w:r>
        <w:t xml:space="preserve"> = REML between-study variance. </w:t>
      </w:r>
      <w:r>
        <w:rPr>
          <w:i/>
        </w:rPr>
        <w:t>Q</w:t>
      </w:r>
      <w:r>
        <w:t xml:space="preserve"> = Cochran's heterogeneity statistic; </w:t>
      </w:r>
      <w:r>
        <w:rPr>
          <w:i/>
        </w:rPr>
        <w:t>df</w:t>
      </w:r>
      <w:r>
        <w:t xml:space="preserve"> = degrees of freedom; </w:t>
      </w:r>
      <w:r>
        <w:rPr>
          <w:i/>
        </w:rPr>
        <w:t>p</w:t>
      </w:r>
      <w:r>
        <w:t xml:space="preserve"> = associated p-value. Traits are sorted by pooled </w:t>
      </w:r>
      <w:r>
        <w:rPr>
          <w:i/>
        </w:rPr>
        <w:t>r</w:t>
      </w:r>
      <w:r>
        <w:t xml:space="preserve"> (descending).</w:t>
      </w:r>
    </w:p>
    <w:p w14:paraId="4716FCAF" w14:textId="77777777" w:rsidR="006A2C5A" w:rsidRDefault="00000000">
      <w:r>
        <w:br w:type="page"/>
      </w:r>
    </w:p>
    <w:p w14:paraId="57E8A0E9" w14:textId="77777777" w:rsidR="006A2C5A" w:rsidRDefault="00000000">
      <w:pPr>
        <w:spacing w:after="0" w:line="480" w:lineRule="auto"/>
      </w:pPr>
      <w:r>
        <w:rPr>
          <w:b/>
        </w:rPr>
        <w:lastRenderedPageBreak/>
        <w:t>Table 3</w:t>
      </w:r>
    </w:p>
    <w:p w14:paraId="1271F499" w14:textId="77777777" w:rsidR="006A2C5A" w:rsidRDefault="00000000">
      <w:pPr>
        <w:spacing w:after="0" w:line="480" w:lineRule="auto"/>
      </w:pPr>
      <w:r>
        <w:rPr>
          <w:i/>
        </w:rPr>
        <w:t>Subgroup Moderator Analyses: Region, Era, and Outcome Type per Big Five Trait</w:t>
      </w:r>
    </w:p>
    <w:tbl>
      <w:tblPr>
        <w:tblStyle w:val="38"/>
        <w:tblW w:w="0" w:type="auto"/>
        <w:tblLook w:val="04A0" w:firstRow="1" w:lastRow="0" w:firstColumn="1" w:lastColumn="0" w:noHBand="0" w:noVBand="1"/>
      </w:tblPr>
      <w:tblGrid>
        <w:gridCol w:w="1872"/>
        <w:gridCol w:w="1872"/>
        <w:gridCol w:w="1872"/>
        <w:gridCol w:w="1872"/>
        <w:gridCol w:w="1872"/>
      </w:tblGrid>
      <w:tr w:rsidR="006A2C5A" w14:paraId="65707990" w14:textId="77777777" w:rsidTr="006A2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8C13EEA" w14:textId="77777777" w:rsidR="006A2C5A" w:rsidRDefault="00000000">
            <w:pPr>
              <w:spacing w:line="276" w:lineRule="auto"/>
            </w:pPr>
            <w:r>
              <w:rPr>
                <w:sz w:val="20"/>
              </w:rPr>
              <w:t>Moderator / Trait</w:t>
            </w:r>
          </w:p>
        </w:tc>
        <w:tc>
          <w:tcPr>
            <w:tcW w:w="1872" w:type="dxa"/>
          </w:tcPr>
          <w:p w14:paraId="68976CB9"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Level</w:t>
            </w:r>
          </w:p>
        </w:tc>
        <w:tc>
          <w:tcPr>
            <w:tcW w:w="1872" w:type="dxa"/>
          </w:tcPr>
          <w:p w14:paraId="1432ED9F"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k</w:t>
            </w:r>
          </w:p>
        </w:tc>
        <w:tc>
          <w:tcPr>
            <w:tcW w:w="1872" w:type="dxa"/>
          </w:tcPr>
          <w:p w14:paraId="00D29C45"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 [95% CI]</w:t>
            </w:r>
          </w:p>
        </w:tc>
        <w:tc>
          <w:tcPr>
            <w:tcW w:w="1872" w:type="dxa"/>
          </w:tcPr>
          <w:p w14:paraId="2AC1BCB0"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t>Q_between(</w:t>
            </w:r>
            <w:r>
              <w:rPr>
                <w:i/>
              </w:rPr>
              <w:t>df</w:t>
            </w:r>
            <w:r>
              <w:t xml:space="preserve">), </w:t>
            </w:r>
            <w:r>
              <w:rPr>
                <w:i/>
              </w:rPr>
              <w:t>p</w:t>
            </w:r>
          </w:p>
        </w:tc>
      </w:tr>
      <w:tr w:rsidR="006A2C5A" w14:paraId="234FF954"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6F4758C" w14:textId="77777777" w:rsidR="006A2C5A" w:rsidRDefault="00000000">
            <w:pPr>
              <w:spacing w:line="276" w:lineRule="auto"/>
            </w:pPr>
            <w:r>
              <w:rPr>
                <w:sz w:val="20"/>
              </w:rPr>
              <w:t>Region: Conscientiousness</w:t>
            </w:r>
          </w:p>
        </w:tc>
        <w:tc>
          <w:tcPr>
            <w:tcW w:w="1872" w:type="dxa"/>
          </w:tcPr>
          <w:p w14:paraId="0B4E5122"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568B2D96"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3460C216"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.185 [.082, .284]</w:t>
            </w:r>
          </w:p>
        </w:tc>
        <w:tc>
          <w:tcPr>
            <w:tcW w:w="1872" w:type="dxa"/>
          </w:tcPr>
          <w:p w14:paraId="7F02A3B9"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2.68(1), .102</w:t>
            </w:r>
          </w:p>
        </w:tc>
      </w:tr>
      <w:tr w:rsidR="006A2C5A" w14:paraId="6BF5AAB1"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E1CCE93" w14:textId="77777777" w:rsidR="006A2C5A" w:rsidRDefault="006A2C5A">
            <w:pPr>
              <w:spacing w:line="276" w:lineRule="auto"/>
            </w:pPr>
          </w:p>
        </w:tc>
        <w:tc>
          <w:tcPr>
            <w:tcW w:w="1872" w:type="dxa"/>
          </w:tcPr>
          <w:p w14:paraId="422DCD0C"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7220118F"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534E90BC"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.111 [−.039, .257]</w:t>
            </w:r>
          </w:p>
        </w:tc>
        <w:tc>
          <w:tcPr>
            <w:tcW w:w="1872" w:type="dxa"/>
          </w:tcPr>
          <w:p w14:paraId="08136AD2" w14:textId="77777777" w:rsidR="006A2C5A" w:rsidRDefault="006A2C5A">
            <w:pPr>
              <w:spacing w:line="276" w:lineRule="auto"/>
              <w:cnfStyle w:val="000000010000" w:firstRow="0" w:lastRow="0" w:firstColumn="0" w:lastColumn="0" w:oddVBand="0" w:evenVBand="0" w:oddHBand="0" w:evenHBand="1" w:firstRowFirstColumn="0" w:firstRowLastColumn="0" w:lastRowFirstColumn="0" w:lastRowLastColumn="0"/>
            </w:pPr>
          </w:p>
        </w:tc>
      </w:tr>
      <w:tr w:rsidR="006A2C5A" w14:paraId="1B225193"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AA22F2D" w14:textId="77777777" w:rsidR="006A2C5A" w:rsidRDefault="00000000">
            <w:pPr>
              <w:spacing w:line="276" w:lineRule="auto"/>
            </w:pPr>
            <w:r>
              <w:rPr>
                <w:sz w:val="20"/>
              </w:rPr>
              <w:t>Region: Openness</w:t>
            </w:r>
          </w:p>
        </w:tc>
        <w:tc>
          <w:tcPr>
            <w:tcW w:w="1872" w:type="dxa"/>
          </w:tcPr>
          <w:p w14:paraId="4AF8BA52"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4310C7FC"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75D4F379"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.053 [−.060, .164]</w:t>
            </w:r>
          </w:p>
        </w:tc>
        <w:tc>
          <w:tcPr>
            <w:tcW w:w="1872" w:type="dxa"/>
          </w:tcPr>
          <w:p w14:paraId="058D5C80"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0.26(1), .612</w:t>
            </w:r>
          </w:p>
        </w:tc>
      </w:tr>
      <w:tr w:rsidR="006A2C5A" w14:paraId="004DCD3A"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EA03B4A" w14:textId="77777777" w:rsidR="006A2C5A" w:rsidRDefault="006A2C5A">
            <w:pPr>
              <w:spacing w:line="276" w:lineRule="auto"/>
            </w:pPr>
          </w:p>
        </w:tc>
        <w:tc>
          <w:tcPr>
            <w:tcW w:w="1872" w:type="dxa"/>
          </w:tcPr>
          <w:p w14:paraId="340F32EA"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46211B37"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7F1DEF82"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.164 [−.989, .994]</w:t>
            </w:r>
          </w:p>
        </w:tc>
        <w:tc>
          <w:tcPr>
            <w:tcW w:w="1872" w:type="dxa"/>
          </w:tcPr>
          <w:p w14:paraId="3A7A48F6" w14:textId="77777777" w:rsidR="006A2C5A" w:rsidRDefault="006A2C5A">
            <w:pPr>
              <w:spacing w:line="276" w:lineRule="auto"/>
              <w:cnfStyle w:val="000000010000" w:firstRow="0" w:lastRow="0" w:firstColumn="0" w:lastColumn="0" w:oddVBand="0" w:evenVBand="0" w:oddHBand="0" w:evenHBand="1" w:firstRowFirstColumn="0" w:firstRowLastColumn="0" w:lastRowFirstColumn="0" w:lastRowLastColumn="0"/>
            </w:pPr>
          </w:p>
        </w:tc>
      </w:tr>
      <w:tr w:rsidR="006A2C5A" w14:paraId="4119E66F"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3C6E4F7" w14:textId="77777777" w:rsidR="006A2C5A" w:rsidRDefault="00000000">
            <w:pPr>
              <w:spacing w:line="276" w:lineRule="auto"/>
            </w:pPr>
            <w:r>
              <w:rPr>
                <w:sz w:val="20"/>
              </w:rPr>
              <w:t>Region: Extraversion</w:t>
            </w:r>
          </w:p>
        </w:tc>
        <w:tc>
          <w:tcPr>
            <w:tcW w:w="1872" w:type="dxa"/>
          </w:tcPr>
          <w:p w14:paraId="404AA8BB"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0B37DD5C"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7933DA93"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.050 [−.004, .104]</w:t>
            </w:r>
          </w:p>
        </w:tc>
        <w:tc>
          <w:tcPr>
            <w:tcW w:w="1872" w:type="dxa"/>
          </w:tcPr>
          <w:p w14:paraId="55553688"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46.43(1), &lt;.001 †</w:t>
            </w:r>
          </w:p>
        </w:tc>
      </w:tr>
      <w:tr w:rsidR="006A2C5A" w14:paraId="37DB8ABC"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9AA00CD" w14:textId="77777777" w:rsidR="006A2C5A" w:rsidRDefault="006A2C5A">
            <w:pPr>
              <w:spacing w:line="276" w:lineRule="auto"/>
            </w:pPr>
          </w:p>
        </w:tc>
        <w:tc>
          <w:tcPr>
            <w:tcW w:w="1872" w:type="dxa"/>
          </w:tcPr>
          <w:p w14:paraId="29ED6F19"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14CBD585"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6ACB1513"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−.131 [−.314, .061]</w:t>
            </w:r>
          </w:p>
        </w:tc>
        <w:tc>
          <w:tcPr>
            <w:tcW w:w="1872" w:type="dxa"/>
          </w:tcPr>
          <w:p w14:paraId="0BF457DE" w14:textId="77777777" w:rsidR="006A2C5A" w:rsidRDefault="006A2C5A">
            <w:pPr>
              <w:spacing w:line="276" w:lineRule="auto"/>
              <w:cnfStyle w:val="000000010000" w:firstRow="0" w:lastRow="0" w:firstColumn="0" w:lastColumn="0" w:oddVBand="0" w:evenVBand="0" w:oddHBand="0" w:evenHBand="1" w:firstRowFirstColumn="0" w:firstRowLastColumn="0" w:lastRowFirstColumn="0" w:lastRowLastColumn="0"/>
            </w:pPr>
          </w:p>
        </w:tc>
      </w:tr>
      <w:tr w:rsidR="006A2C5A" w14:paraId="0FED0F2B"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C6612C7" w14:textId="77777777" w:rsidR="006A2C5A" w:rsidRDefault="00000000">
            <w:pPr>
              <w:spacing w:line="276" w:lineRule="auto"/>
            </w:pPr>
            <w:r>
              <w:rPr>
                <w:sz w:val="20"/>
              </w:rPr>
              <w:t>Region: Agreeableness</w:t>
            </w:r>
          </w:p>
        </w:tc>
        <w:tc>
          <w:tcPr>
            <w:tcW w:w="1872" w:type="dxa"/>
          </w:tcPr>
          <w:p w14:paraId="72EB5D3E"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4A650497"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206DF271"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.030 [−.047, .106]</w:t>
            </w:r>
          </w:p>
        </w:tc>
        <w:tc>
          <w:tcPr>
            <w:tcW w:w="1872" w:type="dxa"/>
          </w:tcPr>
          <w:p w14:paraId="34FAADDF"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2.17(1), .140</w:t>
            </w:r>
          </w:p>
        </w:tc>
      </w:tr>
      <w:tr w:rsidR="006A2C5A" w14:paraId="609AF442"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46B9F38" w14:textId="77777777" w:rsidR="006A2C5A" w:rsidRDefault="006A2C5A">
            <w:pPr>
              <w:spacing w:line="276" w:lineRule="auto"/>
            </w:pPr>
          </w:p>
        </w:tc>
        <w:tc>
          <w:tcPr>
            <w:tcW w:w="1872" w:type="dxa"/>
          </w:tcPr>
          <w:p w14:paraId="7FC7DC77"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3161B91E"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0D077F5B"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.330 [−.981, .995]</w:t>
            </w:r>
          </w:p>
        </w:tc>
        <w:tc>
          <w:tcPr>
            <w:tcW w:w="1872" w:type="dxa"/>
          </w:tcPr>
          <w:p w14:paraId="73AD7629" w14:textId="77777777" w:rsidR="006A2C5A" w:rsidRDefault="006A2C5A">
            <w:pPr>
              <w:spacing w:line="276" w:lineRule="auto"/>
              <w:cnfStyle w:val="000000010000" w:firstRow="0" w:lastRow="0" w:firstColumn="0" w:lastColumn="0" w:oddVBand="0" w:evenVBand="0" w:oddHBand="0" w:evenHBand="1" w:firstRowFirstColumn="0" w:firstRowLastColumn="0" w:lastRowFirstColumn="0" w:lastRowLastColumn="0"/>
            </w:pPr>
          </w:p>
        </w:tc>
      </w:tr>
      <w:tr w:rsidR="006A2C5A" w14:paraId="2BD709C1"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3998170" w14:textId="77777777" w:rsidR="006A2C5A" w:rsidRDefault="00000000">
            <w:pPr>
              <w:spacing w:line="276" w:lineRule="auto"/>
            </w:pPr>
            <w:r>
              <w:rPr>
                <w:sz w:val="20"/>
              </w:rPr>
              <w:t>Region: Neuroticism</w:t>
            </w:r>
          </w:p>
        </w:tc>
        <w:tc>
          <w:tcPr>
            <w:tcW w:w="1872" w:type="dxa"/>
          </w:tcPr>
          <w:p w14:paraId="23076A06"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non-Asia</w:t>
            </w:r>
          </w:p>
        </w:tc>
        <w:tc>
          <w:tcPr>
            <w:tcW w:w="1872" w:type="dxa"/>
          </w:tcPr>
          <w:p w14:paraId="6E7B34D4"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07A6A241"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−.007 [−.130, .117]</w:t>
            </w:r>
          </w:p>
        </w:tc>
        <w:tc>
          <w:tcPr>
            <w:tcW w:w="1872" w:type="dxa"/>
          </w:tcPr>
          <w:p w14:paraId="1EAB4732"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3.31(1), .069</w:t>
            </w:r>
          </w:p>
        </w:tc>
      </w:tr>
      <w:tr w:rsidR="006A2C5A" w14:paraId="357A4F4B"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39DFA9D" w14:textId="77777777" w:rsidR="006A2C5A" w:rsidRDefault="006A2C5A">
            <w:pPr>
              <w:spacing w:line="276" w:lineRule="auto"/>
            </w:pPr>
          </w:p>
        </w:tc>
        <w:tc>
          <w:tcPr>
            <w:tcW w:w="1872" w:type="dxa"/>
          </w:tcPr>
          <w:p w14:paraId="0EA46082"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Asia</w:t>
            </w:r>
          </w:p>
        </w:tc>
        <w:tc>
          <w:tcPr>
            <w:tcW w:w="1872" w:type="dxa"/>
          </w:tcPr>
          <w:p w14:paraId="53171E49"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38F1C62A"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.089 [.008, .169]</w:t>
            </w:r>
          </w:p>
        </w:tc>
        <w:tc>
          <w:tcPr>
            <w:tcW w:w="1872" w:type="dxa"/>
          </w:tcPr>
          <w:p w14:paraId="2E4C0576" w14:textId="77777777" w:rsidR="006A2C5A" w:rsidRDefault="006A2C5A">
            <w:pPr>
              <w:spacing w:line="276" w:lineRule="auto"/>
              <w:cnfStyle w:val="000000010000" w:firstRow="0" w:lastRow="0" w:firstColumn="0" w:lastColumn="0" w:oddVBand="0" w:evenVBand="0" w:oddHBand="0" w:evenHBand="1" w:firstRowFirstColumn="0" w:firstRowLastColumn="0" w:lastRowFirstColumn="0" w:lastRowLastColumn="0"/>
            </w:pPr>
          </w:p>
        </w:tc>
      </w:tr>
      <w:tr w:rsidR="006A2C5A" w14:paraId="506D8587"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040B867" w14:textId="77777777" w:rsidR="006A2C5A" w:rsidRDefault="00000000">
            <w:pPr>
              <w:spacing w:line="276" w:lineRule="auto"/>
            </w:pPr>
            <w:r>
              <w:rPr>
                <w:sz w:val="20"/>
              </w:rPr>
              <w:t>Era: Conscientiousness</w:t>
            </w:r>
          </w:p>
        </w:tc>
        <w:tc>
          <w:tcPr>
            <w:tcW w:w="1872" w:type="dxa"/>
          </w:tcPr>
          <w:p w14:paraId="3DEF1E2F"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1965D7F4"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4</w:t>
            </w:r>
          </w:p>
        </w:tc>
        <w:tc>
          <w:tcPr>
            <w:tcW w:w="1872" w:type="dxa"/>
          </w:tcPr>
          <w:p w14:paraId="731A6E2D"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.208 [−.041, .434]</w:t>
            </w:r>
          </w:p>
        </w:tc>
        <w:tc>
          <w:tcPr>
            <w:tcW w:w="1872" w:type="dxa"/>
          </w:tcPr>
          <w:p w14:paraId="58019993"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0.13(1), .716</w:t>
            </w:r>
          </w:p>
        </w:tc>
      </w:tr>
      <w:tr w:rsidR="006A2C5A" w14:paraId="615513CF"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4A85FD1" w14:textId="77777777" w:rsidR="006A2C5A" w:rsidRDefault="006A2C5A">
            <w:pPr>
              <w:spacing w:line="276" w:lineRule="auto"/>
            </w:pPr>
          </w:p>
        </w:tc>
        <w:tc>
          <w:tcPr>
            <w:tcW w:w="1872" w:type="dxa"/>
          </w:tcPr>
          <w:p w14:paraId="1A708B40"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6A9AE42C"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53306897"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.179 [.095, .260]</w:t>
            </w:r>
          </w:p>
        </w:tc>
        <w:tc>
          <w:tcPr>
            <w:tcW w:w="1872" w:type="dxa"/>
          </w:tcPr>
          <w:p w14:paraId="03294552" w14:textId="77777777" w:rsidR="006A2C5A" w:rsidRDefault="006A2C5A">
            <w:pPr>
              <w:spacing w:line="276" w:lineRule="auto"/>
              <w:cnfStyle w:val="000000010000" w:firstRow="0" w:lastRow="0" w:firstColumn="0" w:lastColumn="0" w:oddVBand="0" w:evenVBand="0" w:oddHBand="0" w:evenHBand="1" w:firstRowFirstColumn="0" w:firstRowLastColumn="0" w:lastRowFirstColumn="0" w:lastRowLastColumn="0"/>
            </w:pPr>
          </w:p>
        </w:tc>
      </w:tr>
      <w:tr w:rsidR="006A2C5A" w14:paraId="68EE7E98"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7E5CECF" w14:textId="77777777" w:rsidR="006A2C5A" w:rsidRDefault="00000000">
            <w:pPr>
              <w:spacing w:line="276" w:lineRule="auto"/>
            </w:pPr>
            <w:r>
              <w:rPr>
                <w:sz w:val="20"/>
              </w:rPr>
              <w:t>Era: Openness</w:t>
            </w:r>
          </w:p>
        </w:tc>
        <w:tc>
          <w:tcPr>
            <w:tcW w:w="1872" w:type="dxa"/>
          </w:tcPr>
          <w:p w14:paraId="663BA72D"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19894A3C"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w:t>
            </w:r>
          </w:p>
        </w:tc>
        <w:tc>
          <w:tcPr>
            <w:tcW w:w="1872" w:type="dxa"/>
          </w:tcPr>
          <w:p w14:paraId="42F18DF4"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.098 [−.423, .570]</w:t>
            </w:r>
          </w:p>
        </w:tc>
        <w:tc>
          <w:tcPr>
            <w:tcW w:w="1872" w:type="dxa"/>
          </w:tcPr>
          <w:p w14:paraId="47DF9F49"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0.00(1), .994</w:t>
            </w:r>
          </w:p>
        </w:tc>
      </w:tr>
      <w:tr w:rsidR="006A2C5A" w14:paraId="47CDB7CD"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07B8D93" w14:textId="77777777" w:rsidR="006A2C5A" w:rsidRDefault="006A2C5A">
            <w:pPr>
              <w:spacing w:line="276" w:lineRule="auto"/>
            </w:pPr>
          </w:p>
        </w:tc>
        <w:tc>
          <w:tcPr>
            <w:tcW w:w="1872" w:type="dxa"/>
          </w:tcPr>
          <w:p w14:paraId="3EF2F9A6"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0A602675"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25AFFF1E"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.097 [−.123, .308]</w:t>
            </w:r>
          </w:p>
        </w:tc>
        <w:tc>
          <w:tcPr>
            <w:tcW w:w="1872" w:type="dxa"/>
          </w:tcPr>
          <w:p w14:paraId="6BDAE69B" w14:textId="77777777" w:rsidR="006A2C5A" w:rsidRDefault="006A2C5A">
            <w:pPr>
              <w:spacing w:line="276" w:lineRule="auto"/>
              <w:cnfStyle w:val="000000010000" w:firstRow="0" w:lastRow="0" w:firstColumn="0" w:lastColumn="0" w:oddVBand="0" w:evenVBand="0" w:oddHBand="0" w:evenHBand="1" w:firstRowFirstColumn="0" w:firstRowLastColumn="0" w:lastRowFirstColumn="0" w:lastRowLastColumn="0"/>
            </w:pPr>
          </w:p>
        </w:tc>
      </w:tr>
      <w:tr w:rsidR="006A2C5A" w14:paraId="3AD1AA98"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A11181A" w14:textId="77777777" w:rsidR="006A2C5A" w:rsidRDefault="00000000">
            <w:pPr>
              <w:spacing w:line="276" w:lineRule="auto"/>
            </w:pPr>
            <w:r>
              <w:rPr>
                <w:sz w:val="20"/>
              </w:rPr>
              <w:t>Era: Extraversion</w:t>
            </w:r>
          </w:p>
        </w:tc>
        <w:tc>
          <w:tcPr>
            <w:tcW w:w="1872" w:type="dxa"/>
          </w:tcPr>
          <w:p w14:paraId="3CD6751D"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0A57A0F2"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w:t>
            </w:r>
          </w:p>
        </w:tc>
        <w:tc>
          <w:tcPr>
            <w:tcW w:w="1872" w:type="dxa"/>
          </w:tcPr>
          <w:p w14:paraId="5EC61B5C"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.033 [.002, .063]</w:t>
            </w:r>
          </w:p>
        </w:tc>
        <w:tc>
          <w:tcPr>
            <w:tcW w:w="1872" w:type="dxa"/>
          </w:tcPr>
          <w:p w14:paraId="71148225"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0.59(1), .443</w:t>
            </w:r>
          </w:p>
        </w:tc>
      </w:tr>
      <w:tr w:rsidR="006A2C5A" w14:paraId="0627F36B"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88A6B74" w14:textId="77777777" w:rsidR="006A2C5A" w:rsidRDefault="006A2C5A">
            <w:pPr>
              <w:spacing w:line="276" w:lineRule="auto"/>
            </w:pPr>
          </w:p>
        </w:tc>
        <w:tc>
          <w:tcPr>
            <w:tcW w:w="1872" w:type="dxa"/>
          </w:tcPr>
          <w:p w14:paraId="1148F9A4"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379DBA68"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3904F99B"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−.014 [−.180, .153]</w:t>
            </w:r>
          </w:p>
        </w:tc>
        <w:tc>
          <w:tcPr>
            <w:tcW w:w="1872" w:type="dxa"/>
          </w:tcPr>
          <w:p w14:paraId="0EE87046" w14:textId="77777777" w:rsidR="006A2C5A" w:rsidRDefault="006A2C5A">
            <w:pPr>
              <w:spacing w:line="276" w:lineRule="auto"/>
              <w:cnfStyle w:val="000000010000" w:firstRow="0" w:lastRow="0" w:firstColumn="0" w:lastColumn="0" w:oddVBand="0" w:evenVBand="0" w:oddHBand="0" w:evenHBand="1" w:firstRowFirstColumn="0" w:firstRowLastColumn="0" w:lastRowFirstColumn="0" w:lastRowLastColumn="0"/>
            </w:pPr>
          </w:p>
        </w:tc>
      </w:tr>
      <w:tr w:rsidR="006A2C5A" w14:paraId="2601E50E"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5B1F602" w14:textId="77777777" w:rsidR="006A2C5A" w:rsidRDefault="00000000">
            <w:pPr>
              <w:spacing w:line="276" w:lineRule="auto"/>
            </w:pPr>
            <w:r>
              <w:rPr>
                <w:sz w:val="20"/>
              </w:rPr>
              <w:t>Era: Agreeableness</w:t>
            </w:r>
          </w:p>
        </w:tc>
        <w:tc>
          <w:tcPr>
            <w:tcW w:w="1872" w:type="dxa"/>
          </w:tcPr>
          <w:p w14:paraId="57379606"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0A834238"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3</w:t>
            </w:r>
          </w:p>
        </w:tc>
        <w:tc>
          <w:tcPr>
            <w:tcW w:w="1872" w:type="dxa"/>
          </w:tcPr>
          <w:p w14:paraId="6890103E"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.033 [−.162, .225]</w:t>
            </w:r>
          </w:p>
        </w:tc>
        <w:tc>
          <w:tcPr>
            <w:tcW w:w="1872" w:type="dxa"/>
          </w:tcPr>
          <w:p w14:paraId="79CC19AC"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1.09(1), .296</w:t>
            </w:r>
          </w:p>
        </w:tc>
      </w:tr>
      <w:tr w:rsidR="006A2C5A" w14:paraId="60124FD0"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1BD1072" w14:textId="77777777" w:rsidR="006A2C5A" w:rsidRDefault="006A2C5A">
            <w:pPr>
              <w:spacing w:line="276" w:lineRule="auto"/>
            </w:pPr>
          </w:p>
        </w:tc>
        <w:tc>
          <w:tcPr>
            <w:tcW w:w="1872" w:type="dxa"/>
          </w:tcPr>
          <w:p w14:paraId="3D2CAE65"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762B2F61"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71C5A282"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.153 [−.141, .422]</w:t>
            </w:r>
          </w:p>
        </w:tc>
        <w:tc>
          <w:tcPr>
            <w:tcW w:w="1872" w:type="dxa"/>
          </w:tcPr>
          <w:p w14:paraId="45F8423F" w14:textId="77777777" w:rsidR="006A2C5A" w:rsidRDefault="006A2C5A">
            <w:pPr>
              <w:spacing w:line="276" w:lineRule="auto"/>
              <w:cnfStyle w:val="000000010000" w:firstRow="0" w:lastRow="0" w:firstColumn="0" w:lastColumn="0" w:oddVBand="0" w:evenVBand="0" w:oddHBand="0" w:evenHBand="1" w:firstRowFirstColumn="0" w:firstRowLastColumn="0" w:lastRowFirstColumn="0" w:lastRowLastColumn="0"/>
            </w:pPr>
          </w:p>
        </w:tc>
      </w:tr>
      <w:tr w:rsidR="006A2C5A" w14:paraId="7A13F544"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98CD21A" w14:textId="77777777" w:rsidR="006A2C5A" w:rsidRDefault="00000000">
            <w:pPr>
              <w:spacing w:line="276" w:lineRule="auto"/>
            </w:pPr>
            <w:r>
              <w:rPr>
                <w:sz w:val="20"/>
              </w:rPr>
              <w:t>Era: Neuroticism</w:t>
            </w:r>
          </w:p>
        </w:tc>
        <w:tc>
          <w:tcPr>
            <w:tcW w:w="1872" w:type="dxa"/>
          </w:tcPr>
          <w:p w14:paraId="6A650CBB"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pre-COVID</w:t>
            </w:r>
          </w:p>
        </w:tc>
        <w:tc>
          <w:tcPr>
            <w:tcW w:w="1872" w:type="dxa"/>
          </w:tcPr>
          <w:p w14:paraId="41A6413E"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4</w:t>
            </w:r>
          </w:p>
        </w:tc>
        <w:tc>
          <w:tcPr>
            <w:tcW w:w="1872" w:type="dxa"/>
          </w:tcPr>
          <w:p w14:paraId="2221C32A"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−.050 [−.173, .074]</w:t>
            </w:r>
          </w:p>
        </w:tc>
        <w:tc>
          <w:tcPr>
            <w:tcW w:w="1872" w:type="dxa"/>
          </w:tcPr>
          <w:p w14:paraId="0448DB5B"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2.04(1), .153</w:t>
            </w:r>
          </w:p>
        </w:tc>
      </w:tr>
      <w:tr w:rsidR="006A2C5A" w14:paraId="25766310"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AB52F48" w14:textId="77777777" w:rsidR="006A2C5A" w:rsidRDefault="006A2C5A">
            <w:pPr>
              <w:spacing w:line="276" w:lineRule="auto"/>
            </w:pPr>
          </w:p>
        </w:tc>
        <w:tc>
          <w:tcPr>
            <w:tcW w:w="1872" w:type="dxa"/>
          </w:tcPr>
          <w:p w14:paraId="43E3C77B"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COVID-era</w:t>
            </w:r>
          </w:p>
        </w:tc>
        <w:tc>
          <w:tcPr>
            <w:tcW w:w="1872" w:type="dxa"/>
          </w:tcPr>
          <w:p w14:paraId="146889DC"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5</w:t>
            </w:r>
          </w:p>
        </w:tc>
        <w:tc>
          <w:tcPr>
            <w:tcW w:w="1872" w:type="dxa"/>
          </w:tcPr>
          <w:p w14:paraId="097D7E0A"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.060 [−.125, .240]</w:t>
            </w:r>
          </w:p>
        </w:tc>
        <w:tc>
          <w:tcPr>
            <w:tcW w:w="1872" w:type="dxa"/>
          </w:tcPr>
          <w:p w14:paraId="2E58F331" w14:textId="77777777" w:rsidR="006A2C5A" w:rsidRDefault="006A2C5A">
            <w:pPr>
              <w:spacing w:line="276" w:lineRule="auto"/>
              <w:cnfStyle w:val="000000010000" w:firstRow="0" w:lastRow="0" w:firstColumn="0" w:lastColumn="0" w:oddVBand="0" w:evenVBand="0" w:oddHBand="0" w:evenHBand="1" w:firstRowFirstColumn="0" w:firstRowLastColumn="0" w:lastRowFirstColumn="0" w:lastRowLastColumn="0"/>
            </w:pPr>
          </w:p>
        </w:tc>
      </w:tr>
      <w:tr w:rsidR="006A2C5A" w14:paraId="7C45E3C6"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9C3227F" w14:textId="77777777" w:rsidR="006A2C5A" w:rsidRDefault="00000000">
            <w:pPr>
              <w:spacing w:line="276" w:lineRule="auto"/>
            </w:pPr>
            <w:r>
              <w:rPr>
                <w:sz w:val="20"/>
              </w:rPr>
              <w:t>Outcome: Conscientiousness</w:t>
            </w:r>
          </w:p>
        </w:tc>
        <w:tc>
          <w:tcPr>
            <w:tcW w:w="1872" w:type="dxa"/>
          </w:tcPr>
          <w:p w14:paraId="5E0F3921"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090F7C69"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32247E52"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.147 [.048, .243]</w:t>
            </w:r>
          </w:p>
        </w:tc>
        <w:tc>
          <w:tcPr>
            <w:tcW w:w="1872" w:type="dxa"/>
          </w:tcPr>
          <w:p w14:paraId="3D0ECFC7"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2.40(1), .121</w:t>
            </w:r>
          </w:p>
        </w:tc>
      </w:tr>
      <w:tr w:rsidR="006A2C5A" w14:paraId="67A1FC24"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0402502" w14:textId="77777777" w:rsidR="006A2C5A" w:rsidRDefault="006A2C5A">
            <w:pPr>
              <w:spacing w:line="276" w:lineRule="auto"/>
            </w:pPr>
          </w:p>
        </w:tc>
        <w:tc>
          <w:tcPr>
            <w:tcW w:w="1872" w:type="dxa"/>
          </w:tcPr>
          <w:p w14:paraId="57D87DCA"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275E93D6"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725A5055"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.225 [−.167, .556]</w:t>
            </w:r>
          </w:p>
        </w:tc>
        <w:tc>
          <w:tcPr>
            <w:tcW w:w="1872" w:type="dxa"/>
          </w:tcPr>
          <w:p w14:paraId="0DC8B3AF" w14:textId="77777777" w:rsidR="006A2C5A" w:rsidRDefault="006A2C5A">
            <w:pPr>
              <w:spacing w:line="276" w:lineRule="auto"/>
              <w:cnfStyle w:val="000000010000" w:firstRow="0" w:lastRow="0" w:firstColumn="0" w:lastColumn="0" w:oddVBand="0" w:evenVBand="0" w:oddHBand="0" w:evenHBand="1" w:firstRowFirstColumn="0" w:firstRowLastColumn="0" w:lastRowFirstColumn="0" w:lastRowLastColumn="0"/>
            </w:pPr>
          </w:p>
        </w:tc>
      </w:tr>
      <w:tr w:rsidR="006A2C5A" w14:paraId="74707E58"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C52DA6D" w14:textId="77777777" w:rsidR="006A2C5A" w:rsidRDefault="00000000">
            <w:pPr>
              <w:spacing w:line="276" w:lineRule="auto"/>
            </w:pPr>
            <w:r>
              <w:rPr>
                <w:sz w:val="20"/>
              </w:rPr>
              <w:t>Outcome: Openness</w:t>
            </w:r>
          </w:p>
        </w:tc>
        <w:tc>
          <w:tcPr>
            <w:tcW w:w="1872" w:type="dxa"/>
          </w:tcPr>
          <w:p w14:paraId="21927046"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09E9FDC2"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70B8A429"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.092 [−.086, .265]</w:t>
            </w:r>
          </w:p>
        </w:tc>
        <w:tc>
          <w:tcPr>
            <w:tcW w:w="1872" w:type="dxa"/>
          </w:tcPr>
          <w:p w14:paraId="767EAAEF"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0.04(1), .839</w:t>
            </w:r>
          </w:p>
        </w:tc>
      </w:tr>
      <w:tr w:rsidR="006A2C5A" w14:paraId="1594E373"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AABE8FC" w14:textId="77777777" w:rsidR="006A2C5A" w:rsidRDefault="006A2C5A">
            <w:pPr>
              <w:spacing w:line="276" w:lineRule="auto"/>
            </w:pPr>
          </w:p>
        </w:tc>
        <w:tc>
          <w:tcPr>
            <w:tcW w:w="1872" w:type="dxa"/>
          </w:tcPr>
          <w:p w14:paraId="5015DE7E"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72056488"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53EEB0AA"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.072 [−.637, .715]</w:t>
            </w:r>
          </w:p>
        </w:tc>
        <w:tc>
          <w:tcPr>
            <w:tcW w:w="1872" w:type="dxa"/>
          </w:tcPr>
          <w:p w14:paraId="06FC3BF5" w14:textId="77777777" w:rsidR="006A2C5A" w:rsidRDefault="006A2C5A">
            <w:pPr>
              <w:spacing w:line="276" w:lineRule="auto"/>
              <w:cnfStyle w:val="000000010000" w:firstRow="0" w:lastRow="0" w:firstColumn="0" w:lastColumn="0" w:oddVBand="0" w:evenVBand="0" w:oddHBand="0" w:evenHBand="1" w:firstRowFirstColumn="0" w:firstRowLastColumn="0" w:lastRowFirstColumn="0" w:lastRowLastColumn="0"/>
            </w:pPr>
          </w:p>
        </w:tc>
      </w:tr>
      <w:tr w:rsidR="006A2C5A" w14:paraId="2ABF09CD"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BE66429" w14:textId="77777777" w:rsidR="006A2C5A" w:rsidRDefault="00000000">
            <w:pPr>
              <w:spacing w:line="276" w:lineRule="auto"/>
            </w:pPr>
            <w:r>
              <w:rPr>
                <w:sz w:val="20"/>
              </w:rPr>
              <w:t>Outcome: Extraversion</w:t>
            </w:r>
          </w:p>
        </w:tc>
        <w:tc>
          <w:tcPr>
            <w:tcW w:w="1872" w:type="dxa"/>
          </w:tcPr>
          <w:p w14:paraId="209D20E9"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47043DF8"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08CA3D32"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−.038 [−.115, .039]</w:t>
            </w:r>
          </w:p>
        </w:tc>
        <w:tc>
          <w:tcPr>
            <w:tcW w:w="1872" w:type="dxa"/>
          </w:tcPr>
          <w:p w14:paraId="519A626E"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17.30(1), &lt;.001 †</w:t>
            </w:r>
          </w:p>
        </w:tc>
      </w:tr>
      <w:tr w:rsidR="006A2C5A" w14:paraId="41F078F0"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DE7D044" w14:textId="77777777" w:rsidR="006A2C5A" w:rsidRDefault="006A2C5A">
            <w:pPr>
              <w:spacing w:line="276" w:lineRule="auto"/>
            </w:pPr>
          </w:p>
        </w:tc>
        <w:tc>
          <w:tcPr>
            <w:tcW w:w="1872" w:type="dxa"/>
          </w:tcPr>
          <w:p w14:paraId="412DB5E4"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11A7C8F8"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6CD57D1A"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.117 [−.136, .356]</w:t>
            </w:r>
          </w:p>
        </w:tc>
        <w:tc>
          <w:tcPr>
            <w:tcW w:w="1872" w:type="dxa"/>
          </w:tcPr>
          <w:p w14:paraId="552D3253" w14:textId="77777777" w:rsidR="006A2C5A" w:rsidRDefault="006A2C5A">
            <w:pPr>
              <w:spacing w:line="276" w:lineRule="auto"/>
              <w:cnfStyle w:val="000000010000" w:firstRow="0" w:lastRow="0" w:firstColumn="0" w:lastColumn="0" w:oddVBand="0" w:evenVBand="0" w:oddHBand="0" w:evenHBand="1" w:firstRowFirstColumn="0" w:firstRowLastColumn="0" w:lastRowFirstColumn="0" w:lastRowLastColumn="0"/>
            </w:pPr>
          </w:p>
        </w:tc>
      </w:tr>
      <w:tr w:rsidR="006A2C5A" w14:paraId="60DC463E"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15C6069" w14:textId="77777777" w:rsidR="006A2C5A" w:rsidRDefault="00000000">
            <w:pPr>
              <w:spacing w:line="276" w:lineRule="auto"/>
            </w:pPr>
            <w:r>
              <w:rPr>
                <w:sz w:val="20"/>
              </w:rPr>
              <w:t>Outcome: Agreeableness</w:t>
            </w:r>
          </w:p>
        </w:tc>
        <w:tc>
          <w:tcPr>
            <w:tcW w:w="1872" w:type="dxa"/>
          </w:tcPr>
          <w:p w14:paraId="0FEB7217"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56849CF1"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3885B96B"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.131 [−.054, .308]</w:t>
            </w:r>
          </w:p>
        </w:tc>
        <w:tc>
          <w:tcPr>
            <w:tcW w:w="1872" w:type="dxa"/>
          </w:tcPr>
          <w:p w14:paraId="7D271EFA"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0.49(1), .485</w:t>
            </w:r>
          </w:p>
        </w:tc>
      </w:tr>
      <w:tr w:rsidR="006A2C5A" w14:paraId="6F65B230"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D7FA83D" w14:textId="77777777" w:rsidR="006A2C5A" w:rsidRDefault="006A2C5A">
            <w:pPr>
              <w:spacing w:line="276" w:lineRule="auto"/>
            </w:pPr>
          </w:p>
        </w:tc>
        <w:tc>
          <w:tcPr>
            <w:tcW w:w="1872" w:type="dxa"/>
          </w:tcPr>
          <w:p w14:paraId="256625B2"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5AC0E91E"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35BBFA5E"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.041 [−.862, .881]</w:t>
            </w:r>
          </w:p>
        </w:tc>
        <w:tc>
          <w:tcPr>
            <w:tcW w:w="1872" w:type="dxa"/>
          </w:tcPr>
          <w:p w14:paraId="0780B328" w14:textId="77777777" w:rsidR="006A2C5A" w:rsidRDefault="006A2C5A">
            <w:pPr>
              <w:spacing w:line="276" w:lineRule="auto"/>
              <w:cnfStyle w:val="000000010000" w:firstRow="0" w:lastRow="0" w:firstColumn="0" w:lastColumn="0" w:oddVBand="0" w:evenVBand="0" w:oddHBand="0" w:evenHBand="1" w:firstRowFirstColumn="0" w:firstRowLastColumn="0" w:lastRowFirstColumn="0" w:lastRowLastColumn="0"/>
            </w:pPr>
          </w:p>
        </w:tc>
      </w:tr>
      <w:tr w:rsidR="006A2C5A" w14:paraId="2F5E42C1"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B71BF2B" w14:textId="77777777" w:rsidR="006A2C5A" w:rsidRDefault="00000000">
            <w:pPr>
              <w:spacing w:line="276" w:lineRule="auto"/>
            </w:pPr>
            <w:r>
              <w:rPr>
                <w:sz w:val="20"/>
              </w:rPr>
              <w:t>Outcome: Neuroticism</w:t>
            </w:r>
          </w:p>
        </w:tc>
        <w:tc>
          <w:tcPr>
            <w:tcW w:w="1872" w:type="dxa"/>
          </w:tcPr>
          <w:p w14:paraId="45BFA578"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objective</w:t>
            </w:r>
          </w:p>
        </w:tc>
        <w:tc>
          <w:tcPr>
            <w:tcW w:w="1872" w:type="dxa"/>
          </w:tcPr>
          <w:p w14:paraId="643BC60E"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8</w:t>
            </w:r>
          </w:p>
        </w:tc>
        <w:tc>
          <w:tcPr>
            <w:tcW w:w="1872" w:type="dxa"/>
          </w:tcPr>
          <w:p w14:paraId="642A02A4"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−.009 [−.097, .080]</w:t>
            </w:r>
          </w:p>
        </w:tc>
        <w:tc>
          <w:tcPr>
            <w:tcW w:w="1872" w:type="dxa"/>
          </w:tcPr>
          <w:p w14:paraId="3AB43B93"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0.82(1), .364</w:t>
            </w:r>
          </w:p>
        </w:tc>
      </w:tr>
      <w:tr w:rsidR="006A2C5A" w14:paraId="7ADA227F"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E33C379" w14:textId="77777777" w:rsidR="006A2C5A" w:rsidRDefault="006A2C5A">
            <w:pPr>
              <w:spacing w:line="276" w:lineRule="auto"/>
            </w:pPr>
          </w:p>
        </w:tc>
        <w:tc>
          <w:tcPr>
            <w:tcW w:w="1872" w:type="dxa"/>
          </w:tcPr>
          <w:p w14:paraId="32DEDF3C"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self-rated</w:t>
            </w:r>
          </w:p>
        </w:tc>
        <w:tc>
          <w:tcPr>
            <w:tcW w:w="1872" w:type="dxa"/>
          </w:tcPr>
          <w:p w14:paraId="2B26D851"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2</w:t>
            </w:r>
          </w:p>
        </w:tc>
        <w:tc>
          <w:tcPr>
            <w:tcW w:w="1872" w:type="dxa"/>
          </w:tcPr>
          <w:p w14:paraId="0C4554E6"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.120 [−.926, .954]</w:t>
            </w:r>
          </w:p>
        </w:tc>
        <w:tc>
          <w:tcPr>
            <w:tcW w:w="1872" w:type="dxa"/>
          </w:tcPr>
          <w:p w14:paraId="5AD6BB3E" w14:textId="77777777" w:rsidR="006A2C5A" w:rsidRDefault="006A2C5A">
            <w:pPr>
              <w:spacing w:line="276" w:lineRule="auto"/>
              <w:cnfStyle w:val="000000010000" w:firstRow="0" w:lastRow="0" w:firstColumn="0" w:lastColumn="0" w:oddVBand="0" w:evenVBand="0" w:oddHBand="0" w:evenHBand="1" w:firstRowFirstColumn="0" w:firstRowLastColumn="0" w:lastRowFirstColumn="0" w:lastRowLastColumn="0"/>
            </w:pPr>
          </w:p>
        </w:tc>
      </w:tr>
    </w:tbl>
    <w:p w14:paraId="1D6A4E56" w14:textId="77777777" w:rsidR="006A2C5A" w:rsidRDefault="00000000">
      <w:pPr>
        <w:spacing w:after="0" w:line="480" w:lineRule="auto"/>
      </w:pPr>
      <w:r>
        <w:t xml:space="preserve">Note. </w:t>
      </w:r>
      <w:r>
        <w:rPr>
          <w:i/>
        </w:rPr>
        <w:t>k</w:t>
      </w:r>
      <w:r>
        <w:t xml:space="preserve"> = number of studies contributing to each subgroup. </w:t>
      </w:r>
      <w:r>
        <w:rPr>
          <w:i/>
        </w:rPr>
        <w:t>Q_between</w:t>
      </w:r>
      <w:r>
        <w:t xml:space="preserve"> = between-subgroup heterogeneity statistic testing whether subgroups' pooled effects differ significantly. Dagger (†) indicates the two significant subgroup differences at </w:t>
      </w:r>
      <w:r>
        <w:rPr>
          <w:i/>
        </w:rPr>
        <w:t>p</w:t>
      </w:r>
      <w: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i/>
        </w:rPr>
        <w:t>k</w:t>
      </w:r>
      <w:r>
        <w:t xml:space="preserve"> = 2) were insufficient for subgroup isolation. Outcome type: objective = GPA, course grade, standardized exam, or MOOC platform composite; self-rated = student self-reported performance.</w:t>
      </w:r>
    </w:p>
    <w:p w14:paraId="124BF7CF" w14:textId="77777777" w:rsidR="006A2C5A" w:rsidRDefault="00000000">
      <w:r>
        <w:br w:type="page"/>
      </w:r>
    </w:p>
    <w:p w14:paraId="076E8D61" w14:textId="77777777" w:rsidR="006A2C5A" w:rsidRDefault="00000000">
      <w:pPr>
        <w:spacing w:after="0" w:line="480" w:lineRule="auto"/>
      </w:pPr>
      <w:r>
        <w:rPr>
          <w:b/>
        </w:rPr>
        <w:lastRenderedPageBreak/>
        <w:t>Table 4</w:t>
      </w:r>
    </w:p>
    <w:p w14:paraId="37327929" w14:textId="77777777" w:rsidR="006A2C5A" w:rsidRDefault="00000000">
      <w:pPr>
        <w:spacing w:after="0" w:line="480" w:lineRule="auto"/>
      </w:pPr>
      <w:r>
        <w:rPr>
          <w:i/>
        </w:rPr>
        <w:t>Pre-Specified Sensitivity Analyses of the Primary Pooled Effect Sizes</w:t>
      </w:r>
    </w:p>
    <w:tbl>
      <w:tblPr>
        <w:tblStyle w:val="38"/>
        <w:tblW w:w="0" w:type="auto"/>
        <w:tblLook w:val="04A0" w:firstRow="1" w:lastRow="0" w:firstColumn="1" w:lastColumn="0" w:noHBand="0" w:noVBand="1"/>
      </w:tblPr>
      <w:tblGrid>
        <w:gridCol w:w="1872"/>
        <w:gridCol w:w="1872"/>
        <w:gridCol w:w="1872"/>
        <w:gridCol w:w="1872"/>
        <w:gridCol w:w="1872"/>
      </w:tblGrid>
      <w:tr w:rsidR="006A2C5A" w14:paraId="2932BE39" w14:textId="77777777" w:rsidTr="006A2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65EF935" w14:textId="77777777" w:rsidR="006A2C5A" w:rsidRDefault="00000000">
            <w:pPr>
              <w:spacing w:line="276" w:lineRule="auto"/>
            </w:pPr>
            <w:r>
              <w:rPr>
                <w:sz w:val="20"/>
              </w:rPr>
              <w:t>Trait</w:t>
            </w:r>
          </w:p>
        </w:tc>
        <w:tc>
          <w:tcPr>
            <w:tcW w:w="1872" w:type="dxa"/>
          </w:tcPr>
          <w:p w14:paraId="248B1B88"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Analysis</w:t>
            </w:r>
          </w:p>
        </w:tc>
        <w:tc>
          <w:tcPr>
            <w:tcW w:w="1872" w:type="dxa"/>
          </w:tcPr>
          <w:p w14:paraId="07ABE981"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k</w:t>
            </w:r>
          </w:p>
        </w:tc>
        <w:tc>
          <w:tcPr>
            <w:tcW w:w="1872" w:type="dxa"/>
          </w:tcPr>
          <w:p w14:paraId="6929BD12"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 [95% CI]</w:t>
            </w:r>
          </w:p>
        </w:tc>
        <w:tc>
          <w:tcPr>
            <w:tcW w:w="1872" w:type="dxa"/>
          </w:tcPr>
          <w:p w14:paraId="0147591F"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Δr vs primary</w:t>
            </w:r>
          </w:p>
        </w:tc>
      </w:tr>
      <w:tr w:rsidR="006A2C5A" w14:paraId="7D66D4C8"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AB860E2" w14:textId="77777777" w:rsidR="006A2C5A" w:rsidRDefault="00000000">
            <w:pPr>
              <w:spacing w:line="276" w:lineRule="auto"/>
            </w:pPr>
            <w:r>
              <w:rPr>
                <w:sz w:val="20"/>
              </w:rPr>
              <w:t>Conscientiousness</w:t>
            </w:r>
          </w:p>
        </w:tc>
        <w:tc>
          <w:tcPr>
            <w:tcW w:w="1872" w:type="dxa"/>
          </w:tcPr>
          <w:p w14:paraId="2E698AB8"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21FB710D"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w:t>
            </w:r>
          </w:p>
        </w:tc>
        <w:tc>
          <w:tcPr>
            <w:tcW w:w="1872" w:type="dxa"/>
          </w:tcPr>
          <w:p w14:paraId="462CC465"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.167 [.089, .243]</w:t>
            </w:r>
          </w:p>
        </w:tc>
        <w:tc>
          <w:tcPr>
            <w:tcW w:w="1872" w:type="dxa"/>
          </w:tcPr>
          <w:p w14:paraId="3E772F85"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6A2C5A" w14:paraId="64C04998"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CFE0A32" w14:textId="77777777" w:rsidR="006A2C5A" w:rsidRDefault="006A2C5A">
            <w:pPr>
              <w:spacing w:line="276" w:lineRule="auto"/>
            </w:pPr>
          </w:p>
        </w:tc>
        <w:tc>
          <w:tcPr>
            <w:tcW w:w="1872" w:type="dxa"/>
          </w:tcPr>
          <w:p w14:paraId="68D9FEA5"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0E0B0218"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575C19C0"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.167 [.089, .243]</w:t>
            </w:r>
          </w:p>
        </w:tc>
        <w:tc>
          <w:tcPr>
            <w:tcW w:w="1872" w:type="dxa"/>
          </w:tcPr>
          <w:p w14:paraId="0354BC16"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6A2C5A" w14:paraId="031F6963"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FD42F80" w14:textId="77777777" w:rsidR="006A2C5A" w:rsidRDefault="006A2C5A">
            <w:pPr>
              <w:spacing w:line="276" w:lineRule="auto"/>
            </w:pPr>
          </w:p>
        </w:tc>
        <w:tc>
          <w:tcPr>
            <w:tcW w:w="1872" w:type="dxa"/>
          </w:tcPr>
          <w:p w14:paraId="4A2F25D4"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0DCB182D"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436B27E0"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.203 [.105, .298]</w:t>
            </w:r>
          </w:p>
        </w:tc>
        <w:tc>
          <w:tcPr>
            <w:tcW w:w="1872" w:type="dxa"/>
          </w:tcPr>
          <w:p w14:paraId="00E598B1"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+.036</w:t>
            </w:r>
          </w:p>
        </w:tc>
      </w:tr>
      <w:tr w:rsidR="006A2C5A" w14:paraId="2438E060"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71ABF73" w14:textId="77777777" w:rsidR="006A2C5A" w:rsidRDefault="006A2C5A">
            <w:pPr>
              <w:spacing w:line="276" w:lineRule="auto"/>
            </w:pPr>
          </w:p>
        </w:tc>
        <w:tc>
          <w:tcPr>
            <w:tcW w:w="1872" w:type="dxa"/>
          </w:tcPr>
          <w:p w14:paraId="082F84DE"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2208FAF6"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4D907FB1"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.182 [.111, .252]</w:t>
            </w:r>
          </w:p>
        </w:tc>
        <w:tc>
          <w:tcPr>
            <w:tcW w:w="1872" w:type="dxa"/>
          </w:tcPr>
          <w:p w14:paraId="3B7F785A"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+.015</w:t>
            </w:r>
          </w:p>
        </w:tc>
      </w:tr>
      <w:tr w:rsidR="006A2C5A" w14:paraId="320CC66F"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50487E3" w14:textId="77777777" w:rsidR="006A2C5A" w:rsidRDefault="006A2C5A">
            <w:pPr>
              <w:spacing w:line="276" w:lineRule="auto"/>
            </w:pPr>
          </w:p>
        </w:tc>
        <w:tc>
          <w:tcPr>
            <w:tcW w:w="1872" w:type="dxa"/>
          </w:tcPr>
          <w:p w14:paraId="09DDCE1C"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1D38B5F5"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23A92ACF"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2.14, </w:t>
            </w:r>
            <w:r>
              <w:rPr>
                <w:i/>
              </w:rPr>
              <w:t>p</w:t>
            </w:r>
            <w:r>
              <w:t xml:space="preserve"> = .094</w:t>
            </w:r>
          </w:p>
        </w:tc>
        <w:tc>
          <w:tcPr>
            <w:tcW w:w="1872" w:type="dxa"/>
          </w:tcPr>
          <w:p w14:paraId="2BDC0085"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6A2C5A" w14:paraId="3F9DD09A"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F255B2E" w14:textId="77777777" w:rsidR="006A2C5A" w:rsidRDefault="006A2C5A">
            <w:pPr>
              <w:spacing w:line="276" w:lineRule="auto"/>
            </w:pPr>
          </w:p>
        </w:tc>
        <w:tc>
          <w:tcPr>
            <w:tcW w:w="1872" w:type="dxa"/>
          </w:tcPr>
          <w:p w14:paraId="4727B8CB"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59E92FB7"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61D875DE"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.167 [.089, .243]</w:t>
            </w:r>
          </w:p>
        </w:tc>
        <w:tc>
          <w:tcPr>
            <w:tcW w:w="1872" w:type="dxa"/>
          </w:tcPr>
          <w:p w14:paraId="482E9F30"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6A2C5A" w14:paraId="2E828C02"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4586775" w14:textId="77777777" w:rsidR="006A2C5A" w:rsidRDefault="00000000">
            <w:pPr>
              <w:spacing w:line="276" w:lineRule="auto"/>
            </w:pPr>
            <w:r>
              <w:rPr>
                <w:sz w:val="20"/>
              </w:rPr>
              <w:t>Openness</w:t>
            </w:r>
          </w:p>
        </w:tc>
        <w:tc>
          <w:tcPr>
            <w:tcW w:w="1872" w:type="dxa"/>
          </w:tcPr>
          <w:p w14:paraId="6E85C03A"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1C2C7146"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872" w:type="dxa"/>
          </w:tcPr>
          <w:p w14:paraId="70025C2D"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.086 [−.044, .214]</w:t>
            </w:r>
          </w:p>
        </w:tc>
        <w:tc>
          <w:tcPr>
            <w:tcW w:w="1872" w:type="dxa"/>
          </w:tcPr>
          <w:p w14:paraId="25970AB5"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6A2C5A" w14:paraId="4A1E79D5"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14202CA" w14:textId="77777777" w:rsidR="006A2C5A" w:rsidRDefault="006A2C5A">
            <w:pPr>
              <w:spacing w:line="276" w:lineRule="auto"/>
            </w:pPr>
          </w:p>
        </w:tc>
        <w:tc>
          <w:tcPr>
            <w:tcW w:w="1872" w:type="dxa"/>
          </w:tcPr>
          <w:p w14:paraId="3C71E5F6"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788FDB64"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41E0810A"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.086 [−.044, .214]</w:t>
            </w:r>
          </w:p>
        </w:tc>
        <w:tc>
          <w:tcPr>
            <w:tcW w:w="1872" w:type="dxa"/>
          </w:tcPr>
          <w:p w14:paraId="5CC34442"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6A2C5A" w14:paraId="4487462F"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E34C2C3" w14:textId="77777777" w:rsidR="006A2C5A" w:rsidRDefault="006A2C5A">
            <w:pPr>
              <w:spacing w:line="276" w:lineRule="auto"/>
            </w:pPr>
          </w:p>
        </w:tc>
        <w:tc>
          <w:tcPr>
            <w:tcW w:w="1872" w:type="dxa"/>
          </w:tcPr>
          <w:p w14:paraId="19207946"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0DD94262"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w:t>
            </w:r>
          </w:p>
        </w:tc>
        <w:tc>
          <w:tcPr>
            <w:tcW w:w="1872" w:type="dxa"/>
          </w:tcPr>
          <w:p w14:paraId="62D455CF"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.031 [−.117, .178]</w:t>
            </w:r>
          </w:p>
        </w:tc>
        <w:tc>
          <w:tcPr>
            <w:tcW w:w="1872" w:type="dxa"/>
          </w:tcPr>
          <w:p w14:paraId="06ECC67C"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−.055 ‡</w:t>
            </w:r>
          </w:p>
        </w:tc>
      </w:tr>
      <w:tr w:rsidR="006A2C5A" w14:paraId="50E31B9D"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49C4953" w14:textId="77777777" w:rsidR="006A2C5A" w:rsidRDefault="006A2C5A">
            <w:pPr>
              <w:spacing w:line="276" w:lineRule="auto"/>
            </w:pPr>
          </w:p>
        </w:tc>
        <w:tc>
          <w:tcPr>
            <w:tcW w:w="1872" w:type="dxa"/>
          </w:tcPr>
          <w:p w14:paraId="4AB5BD3C"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39297699"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06B79038"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.097 [−.052, .242]</w:t>
            </w:r>
          </w:p>
        </w:tc>
        <w:tc>
          <w:tcPr>
            <w:tcW w:w="1872" w:type="dxa"/>
          </w:tcPr>
          <w:p w14:paraId="4B247681"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+.011</w:t>
            </w:r>
          </w:p>
        </w:tc>
      </w:tr>
      <w:tr w:rsidR="006A2C5A" w14:paraId="42F6E4A3"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3A72D54" w14:textId="77777777" w:rsidR="006A2C5A" w:rsidRDefault="006A2C5A">
            <w:pPr>
              <w:spacing w:line="276" w:lineRule="auto"/>
            </w:pPr>
          </w:p>
        </w:tc>
        <w:tc>
          <w:tcPr>
            <w:tcW w:w="1872" w:type="dxa"/>
          </w:tcPr>
          <w:p w14:paraId="2F82BA72"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45377377"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7B558414"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−6.41, </w:t>
            </w:r>
            <w:r>
              <w:rPr>
                <w:i/>
              </w:rPr>
              <w:t>p</w:t>
            </w:r>
            <w:r>
              <w:t xml:space="preserve"> = .045 †</w:t>
            </w:r>
          </w:p>
        </w:tc>
        <w:tc>
          <w:tcPr>
            <w:tcW w:w="1872" w:type="dxa"/>
          </w:tcPr>
          <w:p w14:paraId="1AB8EA08"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6A2C5A" w14:paraId="7828A5DF"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4AE0FBE" w14:textId="77777777" w:rsidR="006A2C5A" w:rsidRDefault="006A2C5A">
            <w:pPr>
              <w:spacing w:line="276" w:lineRule="auto"/>
            </w:pPr>
          </w:p>
        </w:tc>
        <w:tc>
          <w:tcPr>
            <w:tcW w:w="1872" w:type="dxa"/>
          </w:tcPr>
          <w:p w14:paraId="749EAD48"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066AAB61"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453D6468"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.107 [−.017, .228]</w:t>
            </w:r>
          </w:p>
        </w:tc>
        <w:tc>
          <w:tcPr>
            <w:tcW w:w="1872" w:type="dxa"/>
          </w:tcPr>
          <w:p w14:paraId="5F41BE26"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+.021</w:t>
            </w:r>
          </w:p>
        </w:tc>
      </w:tr>
      <w:tr w:rsidR="006A2C5A" w14:paraId="54BAFB10"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A7055B2" w14:textId="77777777" w:rsidR="006A2C5A" w:rsidRDefault="00000000">
            <w:pPr>
              <w:spacing w:line="276" w:lineRule="auto"/>
            </w:pPr>
            <w:r>
              <w:rPr>
                <w:sz w:val="20"/>
              </w:rPr>
              <w:t>Extraversion</w:t>
            </w:r>
          </w:p>
        </w:tc>
        <w:tc>
          <w:tcPr>
            <w:tcW w:w="1872" w:type="dxa"/>
          </w:tcPr>
          <w:p w14:paraId="529466E7"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223C9292"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872" w:type="dxa"/>
          </w:tcPr>
          <w:p w14:paraId="08CFBF0A"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.002 [−.076, .080]</w:t>
            </w:r>
          </w:p>
        </w:tc>
        <w:tc>
          <w:tcPr>
            <w:tcW w:w="1872" w:type="dxa"/>
          </w:tcPr>
          <w:p w14:paraId="24E08780"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6A2C5A" w14:paraId="0BC149A6"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43E6C2E" w14:textId="77777777" w:rsidR="006A2C5A" w:rsidRDefault="006A2C5A">
            <w:pPr>
              <w:spacing w:line="276" w:lineRule="auto"/>
            </w:pPr>
          </w:p>
        </w:tc>
        <w:tc>
          <w:tcPr>
            <w:tcW w:w="1872" w:type="dxa"/>
          </w:tcPr>
          <w:p w14:paraId="09C8F29C"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7D10129A"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6CA6862B"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.002 [−.076, .080]</w:t>
            </w:r>
          </w:p>
        </w:tc>
        <w:tc>
          <w:tcPr>
            <w:tcW w:w="1872" w:type="dxa"/>
          </w:tcPr>
          <w:p w14:paraId="4B7612EF"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6A2C5A" w14:paraId="3F8257F7"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1330B39" w14:textId="77777777" w:rsidR="006A2C5A" w:rsidRDefault="006A2C5A">
            <w:pPr>
              <w:spacing w:line="276" w:lineRule="auto"/>
            </w:pPr>
          </w:p>
        </w:tc>
        <w:tc>
          <w:tcPr>
            <w:tcW w:w="1872" w:type="dxa"/>
          </w:tcPr>
          <w:p w14:paraId="6E4239BC"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7DADCBB1"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w:t>
            </w:r>
          </w:p>
        </w:tc>
        <w:tc>
          <w:tcPr>
            <w:tcW w:w="1872" w:type="dxa"/>
          </w:tcPr>
          <w:p w14:paraId="0F6C42CF"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.018 [−.087, .122]</w:t>
            </w:r>
          </w:p>
        </w:tc>
        <w:tc>
          <w:tcPr>
            <w:tcW w:w="1872" w:type="dxa"/>
          </w:tcPr>
          <w:p w14:paraId="474BBC44"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+.016</w:t>
            </w:r>
          </w:p>
        </w:tc>
      </w:tr>
      <w:tr w:rsidR="006A2C5A" w14:paraId="22A56E7F"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67581B7" w14:textId="77777777" w:rsidR="006A2C5A" w:rsidRDefault="006A2C5A">
            <w:pPr>
              <w:spacing w:line="276" w:lineRule="auto"/>
            </w:pPr>
          </w:p>
        </w:tc>
        <w:tc>
          <w:tcPr>
            <w:tcW w:w="1872" w:type="dxa"/>
          </w:tcPr>
          <w:p w14:paraId="64FDFAEE"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7E90782A"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075EDF31"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.003 [−.088, .093]</w:t>
            </w:r>
          </w:p>
        </w:tc>
        <w:tc>
          <w:tcPr>
            <w:tcW w:w="1872" w:type="dxa"/>
          </w:tcPr>
          <w:p w14:paraId="5DA51F0F"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+.001</w:t>
            </w:r>
          </w:p>
        </w:tc>
      </w:tr>
      <w:tr w:rsidR="006A2C5A" w14:paraId="28199102"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F8CD521" w14:textId="77777777" w:rsidR="006A2C5A" w:rsidRDefault="006A2C5A">
            <w:pPr>
              <w:spacing w:line="276" w:lineRule="auto"/>
            </w:pPr>
          </w:p>
        </w:tc>
        <w:tc>
          <w:tcPr>
            <w:tcW w:w="1872" w:type="dxa"/>
          </w:tcPr>
          <w:p w14:paraId="18D92869"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5DEFFA51"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5A62DBC7"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2.29, </w:t>
            </w:r>
            <w:r>
              <w:rPr>
                <w:i/>
              </w:rPr>
              <w:t>p</w:t>
            </w:r>
            <w:r>
              <w:t xml:space="preserve"> = .255</w:t>
            </w:r>
          </w:p>
        </w:tc>
        <w:tc>
          <w:tcPr>
            <w:tcW w:w="1872" w:type="dxa"/>
          </w:tcPr>
          <w:p w14:paraId="1D963FC8"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6A2C5A" w14:paraId="5AECC6A6"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7DCB9CA" w14:textId="77777777" w:rsidR="006A2C5A" w:rsidRDefault="006A2C5A">
            <w:pPr>
              <w:spacing w:line="276" w:lineRule="auto"/>
            </w:pPr>
          </w:p>
        </w:tc>
        <w:tc>
          <w:tcPr>
            <w:tcW w:w="1872" w:type="dxa"/>
          </w:tcPr>
          <w:p w14:paraId="69D05FD5"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79F96C7B"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w:t>
            </w:r>
          </w:p>
        </w:tc>
        <w:tc>
          <w:tcPr>
            <w:tcW w:w="1872" w:type="dxa"/>
          </w:tcPr>
          <w:p w14:paraId="70C39F6B"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−.036 [−.117, .046]</w:t>
            </w:r>
          </w:p>
        </w:tc>
        <w:tc>
          <w:tcPr>
            <w:tcW w:w="1872" w:type="dxa"/>
          </w:tcPr>
          <w:p w14:paraId="1BC7CC13"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−.038</w:t>
            </w:r>
          </w:p>
        </w:tc>
      </w:tr>
      <w:tr w:rsidR="006A2C5A" w14:paraId="58E2881E"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88DAEAA" w14:textId="77777777" w:rsidR="006A2C5A" w:rsidRDefault="00000000">
            <w:pPr>
              <w:spacing w:line="276" w:lineRule="auto"/>
            </w:pPr>
            <w:r>
              <w:rPr>
                <w:sz w:val="20"/>
              </w:rPr>
              <w:t>Agreeableness</w:t>
            </w:r>
          </w:p>
        </w:tc>
        <w:tc>
          <w:tcPr>
            <w:tcW w:w="1872" w:type="dxa"/>
          </w:tcPr>
          <w:p w14:paraId="7E7279DC"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08B9DF6A"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9</w:t>
            </w:r>
          </w:p>
        </w:tc>
        <w:tc>
          <w:tcPr>
            <w:tcW w:w="1872" w:type="dxa"/>
          </w:tcPr>
          <w:p w14:paraId="5DBCADF6"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.112 [−.031, .250]</w:t>
            </w:r>
          </w:p>
        </w:tc>
        <w:tc>
          <w:tcPr>
            <w:tcW w:w="1872" w:type="dxa"/>
          </w:tcPr>
          <w:p w14:paraId="2A6AA902"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6A2C5A" w14:paraId="5BF2F24D"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58CD14D" w14:textId="77777777" w:rsidR="006A2C5A" w:rsidRDefault="006A2C5A">
            <w:pPr>
              <w:spacing w:line="276" w:lineRule="auto"/>
            </w:pPr>
          </w:p>
        </w:tc>
        <w:tc>
          <w:tcPr>
            <w:tcW w:w="1872" w:type="dxa"/>
          </w:tcPr>
          <w:p w14:paraId="064627C1"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4C6FD41B"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7928E41A"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.112 [−.031, .250]</w:t>
            </w:r>
          </w:p>
        </w:tc>
        <w:tc>
          <w:tcPr>
            <w:tcW w:w="1872" w:type="dxa"/>
          </w:tcPr>
          <w:p w14:paraId="30C3A08C"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6A2C5A" w14:paraId="6FC558C8"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2464CD7" w14:textId="77777777" w:rsidR="006A2C5A" w:rsidRDefault="006A2C5A">
            <w:pPr>
              <w:spacing w:line="276" w:lineRule="auto"/>
            </w:pPr>
          </w:p>
        </w:tc>
        <w:tc>
          <w:tcPr>
            <w:tcW w:w="1872" w:type="dxa"/>
          </w:tcPr>
          <w:p w14:paraId="2DFE97EB"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1B16D49C"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6</w:t>
            </w:r>
          </w:p>
        </w:tc>
        <w:tc>
          <w:tcPr>
            <w:tcW w:w="1872" w:type="dxa"/>
          </w:tcPr>
          <w:p w14:paraId="55E72E07"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.067 [−.015, .148]</w:t>
            </w:r>
          </w:p>
        </w:tc>
        <w:tc>
          <w:tcPr>
            <w:tcW w:w="1872" w:type="dxa"/>
          </w:tcPr>
          <w:p w14:paraId="20DD95B7"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−.045</w:t>
            </w:r>
          </w:p>
        </w:tc>
      </w:tr>
      <w:tr w:rsidR="006A2C5A" w14:paraId="1048D474"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0EBDF8E" w14:textId="77777777" w:rsidR="006A2C5A" w:rsidRDefault="006A2C5A">
            <w:pPr>
              <w:spacing w:line="276" w:lineRule="auto"/>
            </w:pPr>
          </w:p>
        </w:tc>
        <w:tc>
          <w:tcPr>
            <w:tcW w:w="1872" w:type="dxa"/>
          </w:tcPr>
          <w:p w14:paraId="73EBF777"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3E8188DE"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0A6C7C9A"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.126 [−.036, .281]</w:t>
            </w:r>
          </w:p>
        </w:tc>
        <w:tc>
          <w:tcPr>
            <w:tcW w:w="1872" w:type="dxa"/>
          </w:tcPr>
          <w:p w14:paraId="7EF4CC26"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+.014</w:t>
            </w:r>
          </w:p>
        </w:tc>
      </w:tr>
      <w:tr w:rsidR="006A2C5A" w14:paraId="2ABF5660"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50B295A" w14:textId="77777777" w:rsidR="006A2C5A" w:rsidRDefault="006A2C5A">
            <w:pPr>
              <w:spacing w:line="276" w:lineRule="auto"/>
            </w:pPr>
          </w:p>
        </w:tc>
        <w:tc>
          <w:tcPr>
            <w:tcW w:w="1872" w:type="dxa"/>
          </w:tcPr>
          <w:p w14:paraId="283E38EA"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761A2CF7"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653BF644"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−8.53, </w:t>
            </w:r>
            <w:r>
              <w:rPr>
                <w:i/>
              </w:rPr>
              <w:t>p</w:t>
            </w:r>
            <w:r>
              <w:t xml:space="preserve"> = .072</w:t>
            </w:r>
          </w:p>
        </w:tc>
        <w:tc>
          <w:tcPr>
            <w:tcW w:w="1872" w:type="dxa"/>
          </w:tcPr>
          <w:p w14:paraId="48637654"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6A2C5A" w14:paraId="6165598C"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9615CE5" w14:textId="77777777" w:rsidR="006A2C5A" w:rsidRDefault="006A2C5A">
            <w:pPr>
              <w:spacing w:line="276" w:lineRule="auto"/>
            </w:pPr>
          </w:p>
        </w:tc>
        <w:tc>
          <w:tcPr>
            <w:tcW w:w="1872" w:type="dxa"/>
          </w:tcPr>
          <w:p w14:paraId="7735839F"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 xml:space="preserve">Trim-and-fill </w:t>
            </w:r>
            <w:r>
              <w:rPr>
                <w:sz w:val="20"/>
              </w:rPr>
              <w:lastRenderedPageBreak/>
              <w:t>adjusted</w:t>
            </w:r>
          </w:p>
        </w:tc>
        <w:tc>
          <w:tcPr>
            <w:tcW w:w="1872" w:type="dxa"/>
          </w:tcPr>
          <w:p w14:paraId="5B076112"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lastRenderedPageBreak/>
              <w:t>9</w:t>
            </w:r>
          </w:p>
        </w:tc>
        <w:tc>
          <w:tcPr>
            <w:tcW w:w="1872" w:type="dxa"/>
          </w:tcPr>
          <w:p w14:paraId="4523E88C"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.112 [−.031, .250]</w:t>
            </w:r>
          </w:p>
        </w:tc>
        <w:tc>
          <w:tcPr>
            <w:tcW w:w="1872" w:type="dxa"/>
          </w:tcPr>
          <w:p w14:paraId="0D9D2A1D"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6A2C5A" w14:paraId="7424AE52"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82946D9" w14:textId="77777777" w:rsidR="006A2C5A" w:rsidRDefault="00000000">
            <w:pPr>
              <w:spacing w:line="276" w:lineRule="auto"/>
            </w:pPr>
            <w:r>
              <w:rPr>
                <w:sz w:val="20"/>
              </w:rPr>
              <w:t>Neuroticism</w:t>
            </w:r>
          </w:p>
        </w:tc>
        <w:tc>
          <w:tcPr>
            <w:tcW w:w="1872" w:type="dxa"/>
          </w:tcPr>
          <w:p w14:paraId="328FB764"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Primary</w:t>
            </w:r>
          </w:p>
        </w:tc>
        <w:tc>
          <w:tcPr>
            <w:tcW w:w="1872" w:type="dxa"/>
          </w:tcPr>
          <w:p w14:paraId="4E7B58E2"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10</w:t>
            </w:r>
          </w:p>
        </w:tc>
        <w:tc>
          <w:tcPr>
            <w:tcW w:w="1872" w:type="dxa"/>
          </w:tcPr>
          <w:p w14:paraId="6D0DC2F8"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.018 [−.079, .114]</w:t>
            </w:r>
          </w:p>
        </w:tc>
        <w:tc>
          <w:tcPr>
            <w:tcW w:w="1872" w:type="dxa"/>
          </w:tcPr>
          <w:p w14:paraId="43FDA160"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6A2C5A" w14:paraId="23535240"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E4086CF" w14:textId="77777777" w:rsidR="006A2C5A" w:rsidRDefault="006A2C5A">
            <w:pPr>
              <w:spacing w:line="276" w:lineRule="auto"/>
            </w:pPr>
          </w:p>
        </w:tc>
        <w:tc>
          <w:tcPr>
            <w:tcW w:w="1872" w:type="dxa"/>
          </w:tcPr>
          <w:p w14:paraId="4C809953"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Tokiwa (COI)</w:t>
            </w:r>
          </w:p>
        </w:tc>
        <w:tc>
          <w:tcPr>
            <w:tcW w:w="1872" w:type="dxa"/>
          </w:tcPr>
          <w:p w14:paraId="7C86F518"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607581CB"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.018 [−.079, .114]</w:t>
            </w:r>
          </w:p>
        </w:tc>
        <w:tc>
          <w:tcPr>
            <w:tcW w:w="1872" w:type="dxa"/>
          </w:tcPr>
          <w:p w14:paraId="17012E20"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r w:rsidR="006A2C5A" w14:paraId="0F2253DF"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E8725CF" w14:textId="77777777" w:rsidR="006A2C5A" w:rsidRDefault="006A2C5A">
            <w:pPr>
              <w:spacing w:line="276" w:lineRule="auto"/>
            </w:pPr>
          </w:p>
        </w:tc>
        <w:tc>
          <w:tcPr>
            <w:tcW w:w="1872" w:type="dxa"/>
          </w:tcPr>
          <w:p w14:paraId="31C257C2"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Exclude β-converted</w:t>
            </w:r>
          </w:p>
        </w:tc>
        <w:tc>
          <w:tcPr>
            <w:tcW w:w="1872" w:type="dxa"/>
          </w:tcPr>
          <w:p w14:paraId="07AD73FD"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7</w:t>
            </w:r>
          </w:p>
        </w:tc>
        <w:tc>
          <w:tcPr>
            <w:tcW w:w="1872" w:type="dxa"/>
          </w:tcPr>
          <w:p w14:paraId="24476177"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−.043 [−.126, .040]</w:t>
            </w:r>
          </w:p>
        </w:tc>
        <w:tc>
          <w:tcPr>
            <w:tcW w:w="1872" w:type="dxa"/>
          </w:tcPr>
          <w:p w14:paraId="6172E0AE"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−.061 ‡</w:t>
            </w:r>
          </w:p>
        </w:tc>
      </w:tr>
      <w:tr w:rsidR="006A2C5A" w14:paraId="172ED677"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2F851A1" w14:textId="77777777" w:rsidR="006A2C5A" w:rsidRDefault="006A2C5A">
            <w:pPr>
              <w:spacing w:line="276" w:lineRule="auto"/>
            </w:pPr>
          </w:p>
        </w:tc>
        <w:tc>
          <w:tcPr>
            <w:tcW w:w="1872" w:type="dxa"/>
          </w:tcPr>
          <w:p w14:paraId="7B604921"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Exclude RoB &lt; 5</w:t>
            </w:r>
          </w:p>
        </w:tc>
        <w:tc>
          <w:tcPr>
            <w:tcW w:w="1872" w:type="dxa"/>
          </w:tcPr>
          <w:p w14:paraId="37E2674E"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9</w:t>
            </w:r>
          </w:p>
        </w:tc>
        <w:tc>
          <w:tcPr>
            <w:tcW w:w="1872" w:type="dxa"/>
          </w:tcPr>
          <w:p w14:paraId="03A1FFF8"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.019 [−.093, .130]</w:t>
            </w:r>
          </w:p>
        </w:tc>
        <w:tc>
          <w:tcPr>
            <w:tcW w:w="1872" w:type="dxa"/>
          </w:tcPr>
          <w:p w14:paraId="78E57E65"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+.001</w:t>
            </w:r>
          </w:p>
        </w:tc>
      </w:tr>
      <w:tr w:rsidR="006A2C5A" w14:paraId="7856DD68"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AE64AC0" w14:textId="77777777" w:rsidR="006A2C5A" w:rsidRDefault="006A2C5A">
            <w:pPr>
              <w:spacing w:line="276" w:lineRule="auto"/>
            </w:pPr>
          </w:p>
        </w:tc>
        <w:tc>
          <w:tcPr>
            <w:tcW w:w="1872" w:type="dxa"/>
          </w:tcPr>
          <w:p w14:paraId="6FCE9871"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Egger regression</w:t>
            </w:r>
          </w:p>
        </w:tc>
        <w:tc>
          <w:tcPr>
            <w:tcW w:w="1872" w:type="dxa"/>
          </w:tcPr>
          <w:p w14:paraId="63BB0815"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c>
          <w:tcPr>
            <w:tcW w:w="1872" w:type="dxa"/>
          </w:tcPr>
          <w:p w14:paraId="1931F02A"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t xml:space="preserve">intercept = −1.79, </w:t>
            </w:r>
            <w:r>
              <w:rPr>
                <w:i/>
              </w:rPr>
              <w:t>p</w:t>
            </w:r>
            <w:r>
              <w:t xml:space="preserve"> = .304</w:t>
            </w:r>
          </w:p>
        </w:tc>
        <w:tc>
          <w:tcPr>
            <w:tcW w:w="1872" w:type="dxa"/>
          </w:tcPr>
          <w:p w14:paraId="2BD72944"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w:t>
            </w:r>
          </w:p>
        </w:tc>
      </w:tr>
      <w:tr w:rsidR="006A2C5A" w14:paraId="6C8D974F"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778D877" w14:textId="77777777" w:rsidR="006A2C5A" w:rsidRDefault="006A2C5A">
            <w:pPr>
              <w:spacing w:line="276" w:lineRule="auto"/>
            </w:pPr>
          </w:p>
        </w:tc>
        <w:tc>
          <w:tcPr>
            <w:tcW w:w="1872" w:type="dxa"/>
          </w:tcPr>
          <w:p w14:paraId="32152679"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Trim-and-fill adjusted</w:t>
            </w:r>
          </w:p>
        </w:tc>
        <w:tc>
          <w:tcPr>
            <w:tcW w:w="1872" w:type="dxa"/>
          </w:tcPr>
          <w:p w14:paraId="7071B03E"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10</w:t>
            </w:r>
          </w:p>
        </w:tc>
        <w:tc>
          <w:tcPr>
            <w:tcW w:w="1872" w:type="dxa"/>
          </w:tcPr>
          <w:p w14:paraId="548334E1"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.018 [−.079, .114]</w:t>
            </w:r>
          </w:p>
        </w:tc>
        <w:tc>
          <w:tcPr>
            <w:tcW w:w="1872" w:type="dxa"/>
          </w:tcPr>
          <w:p w14:paraId="48908D68"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±.000</w:t>
            </w:r>
          </w:p>
        </w:tc>
      </w:tr>
    </w:tbl>
    <w:p w14:paraId="0EF2AB50" w14:textId="77777777" w:rsidR="006A2C5A" w:rsidRDefault="00000000">
      <w:pPr>
        <w:spacing w:after="0" w:line="480" w:lineRule="auto"/>
      </w:pPr>
      <w: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i/>
        </w:rPr>
        <w:t>p</w:t>
      </w:r>
      <w:r>
        <w:t xml:space="preserve"> &lt; .05. "Exclude Tokiwa (COI)" removes the present author's prior primary study (Tokiwa, 2025); the zero delta reflects that this study did not contribute a direct </w:t>
      </w:r>
      <w:r>
        <w:rPr>
          <w:i/>
        </w:rPr>
        <w:t>r</w:t>
      </w:r>
      <w:r>
        <w:t xml:space="preserve"> to the primary pool. "Exclude β-converted" restricts the pool to studies reporting direct Pearson </w:t>
      </w:r>
      <w:r>
        <w:rPr>
          <w:i/>
        </w:rPr>
        <w:t>r</w:t>
      </w:r>
      <w:r>
        <w:t xml:space="preserve"> or Spearman </w:t>
      </w:r>
      <w:r>
        <w:rPr>
          <w:i/>
        </w:rPr>
        <w:t>ρ</w:t>
      </w:r>
      <w:r>
        <w:t>. "Exclude RoB &lt; 5" removes studies scoring below the pre-specified low-bias threshold of 5 on the JBI 8-item checklist.</w:t>
      </w:r>
    </w:p>
    <w:p w14:paraId="0EA2C80C" w14:textId="77777777" w:rsidR="006A2C5A" w:rsidRDefault="00000000">
      <w:r>
        <w:br w:type="page"/>
      </w:r>
    </w:p>
    <w:p w14:paraId="15E13FBD" w14:textId="77777777" w:rsidR="006A2C5A" w:rsidRDefault="00000000">
      <w:pPr>
        <w:spacing w:after="0" w:line="480" w:lineRule="auto"/>
      </w:pPr>
      <w:r>
        <w:rPr>
          <w:b/>
        </w:rPr>
        <w:lastRenderedPageBreak/>
        <w:t>Table 5</w:t>
      </w:r>
    </w:p>
    <w:p w14:paraId="7D570528" w14:textId="77777777" w:rsidR="006A2C5A" w:rsidRDefault="00000000">
      <w:pPr>
        <w:spacing w:after="0" w:line="480" w:lineRule="auto"/>
      </w:pPr>
      <w:r>
        <w:rPr>
          <w:i/>
        </w:rPr>
        <w:t>GRADE Summary of Findings: Confidence in the Pooled Associations Between Big Five Personality Traits and Academic Achievement in Online Learning Environments</w:t>
      </w:r>
    </w:p>
    <w:tbl>
      <w:tblPr>
        <w:tblStyle w:val="38"/>
        <w:tblW w:w="0" w:type="auto"/>
        <w:tblLook w:val="04A0" w:firstRow="1" w:lastRow="0" w:firstColumn="1" w:lastColumn="0" w:noHBand="0" w:noVBand="1"/>
      </w:tblPr>
      <w:tblGrid>
        <w:gridCol w:w="1915"/>
        <w:gridCol w:w="956"/>
        <w:gridCol w:w="1275"/>
        <w:gridCol w:w="1174"/>
        <w:gridCol w:w="1153"/>
        <w:gridCol w:w="1112"/>
        <w:gridCol w:w="1072"/>
        <w:gridCol w:w="919"/>
      </w:tblGrid>
      <w:tr w:rsidR="006A2C5A" w14:paraId="08D8AC93" w14:textId="77777777" w:rsidTr="006A2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0E6DC506" w14:textId="77777777" w:rsidR="006A2C5A" w:rsidRDefault="00000000">
            <w:pPr>
              <w:spacing w:line="276" w:lineRule="auto"/>
            </w:pPr>
            <w:r>
              <w:t>Trait (</w:t>
            </w:r>
            <w:r>
              <w:rPr>
                <w:i/>
              </w:rPr>
              <w:t>k</w:t>
            </w:r>
            <w:r>
              <w:t xml:space="preserve">, </w:t>
            </w:r>
            <w:r>
              <w:rPr>
                <w:i/>
              </w:rPr>
              <w:t>N</w:t>
            </w:r>
            <w:r>
              <w:t>)</w:t>
            </w:r>
          </w:p>
        </w:tc>
        <w:tc>
          <w:tcPr>
            <w:tcW w:w="1170" w:type="dxa"/>
          </w:tcPr>
          <w:p w14:paraId="242C2377"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Risk of Bias</w:t>
            </w:r>
          </w:p>
        </w:tc>
        <w:tc>
          <w:tcPr>
            <w:tcW w:w="1170" w:type="dxa"/>
          </w:tcPr>
          <w:p w14:paraId="4C594D1E"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Inconsistency</w:t>
            </w:r>
          </w:p>
        </w:tc>
        <w:tc>
          <w:tcPr>
            <w:tcW w:w="1170" w:type="dxa"/>
          </w:tcPr>
          <w:p w14:paraId="18F05D47"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Indirectness</w:t>
            </w:r>
          </w:p>
        </w:tc>
        <w:tc>
          <w:tcPr>
            <w:tcW w:w="1170" w:type="dxa"/>
          </w:tcPr>
          <w:p w14:paraId="58373D6A"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Imprecision</w:t>
            </w:r>
          </w:p>
        </w:tc>
        <w:tc>
          <w:tcPr>
            <w:tcW w:w="1170" w:type="dxa"/>
          </w:tcPr>
          <w:p w14:paraId="5A3BF66E"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Publication Bias</w:t>
            </w:r>
          </w:p>
        </w:tc>
        <w:tc>
          <w:tcPr>
            <w:tcW w:w="1170" w:type="dxa"/>
          </w:tcPr>
          <w:p w14:paraId="4969BB84"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Magnitude</w:t>
            </w:r>
          </w:p>
        </w:tc>
        <w:tc>
          <w:tcPr>
            <w:tcW w:w="1170" w:type="dxa"/>
          </w:tcPr>
          <w:p w14:paraId="784BA3D2" w14:textId="77777777" w:rsidR="006A2C5A" w:rsidRDefault="00000000">
            <w:pPr>
              <w:spacing w:line="276" w:lineRule="auto"/>
              <w:cnfStyle w:val="100000000000" w:firstRow="1" w:lastRow="0" w:firstColumn="0" w:lastColumn="0" w:oddVBand="0" w:evenVBand="0" w:oddHBand="0" w:evenHBand="0" w:firstRowFirstColumn="0" w:firstRowLastColumn="0" w:lastRowFirstColumn="0" w:lastRowLastColumn="0"/>
            </w:pPr>
            <w:r>
              <w:rPr>
                <w:sz w:val="20"/>
              </w:rPr>
              <w:t>GRADE</w:t>
            </w:r>
          </w:p>
        </w:tc>
      </w:tr>
      <w:tr w:rsidR="006A2C5A" w14:paraId="5EB90EE9"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7B612B7C" w14:textId="77777777" w:rsidR="006A2C5A" w:rsidRDefault="00000000">
            <w:pPr>
              <w:spacing w:line="276" w:lineRule="auto"/>
            </w:pPr>
            <w:r>
              <w:t>Conscientiousness</w:t>
            </w:r>
            <w:r>
              <w:br/>
              <w:t>(</w:t>
            </w:r>
            <w:r>
              <w:rPr>
                <w:i/>
              </w:rPr>
              <w:t>k</w:t>
            </w:r>
            <w:r>
              <w:t xml:space="preserve">=10, </w:t>
            </w:r>
            <w:r>
              <w:rPr>
                <w:i/>
              </w:rPr>
              <w:t>N</w:t>
            </w:r>
            <w:r>
              <w:t>=3,384)</w:t>
            </w:r>
          </w:p>
        </w:tc>
        <w:tc>
          <w:tcPr>
            <w:tcW w:w="1170" w:type="dxa"/>
          </w:tcPr>
          <w:p w14:paraId="59CE3B11"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(mean JBI=5.80)</w:t>
            </w:r>
          </w:p>
        </w:tc>
        <w:tc>
          <w:tcPr>
            <w:tcW w:w="1170" w:type="dxa"/>
          </w:tcPr>
          <w:p w14:paraId="57BCE14D"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t>Serious</w:t>
            </w:r>
            <w:r>
              <w:br/>
              <w:t>(</w:t>
            </w:r>
            <w:r>
              <w:rPr>
                <w:i/>
              </w:rPr>
              <w:t>I²</w:t>
            </w:r>
            <w:r>
              <w:t>=65.1%)</w:t>
            </w:r>
          </w:p>
        </w:tc>
        <w:tc>
          <w:tcPr>
            <w:tcW w:w="1170" w:type="dxa"/>
          </w:tcPr>
          <w:p w14:paraId="041C36EB"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p>
        </w:tc>
        <w:tc>
          <w:tcPr>
            <w:tcW w:w="1170" w:type="dxa"/>
          </w:tcPr>
          <w:p w14:paraId="49739715"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(CI width=.15)</w:t>
            </w:r>
          </w:p>
        </w:tc>
        <w:tc>
          <w:tcPr>
            <w:tcW w:w="1170" w:type="dxa"/>
          </w:tcPr>
          <w:p w14:paraId="7277E5EE"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t>Not serious</w:t>
            </w:r>
            <w:r>
              <w:br/>
              <w:t xml:space="preserve">(Egger </w:t>
            </w:r>
            <w:r>
              <w:rPr>
                <w:i/>
              </w:rPr>
              <w:t>p</w:t>
            </w:r>
            <w:r>
              <w:t>=.094)</w:t>
            </w:r>
          </w:p>
        </w:tc>
        <w:tc>
          <w:tcPr>
            <w:tcW w:w="1170" w:type="dxa"/>
          </w:tcPr>
          <w:p w14:paraId="7CBCCB7A"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t>Small</w:t>
            </w:r>
            <w:r>
              <w:br/>
              <w:t>(</w:t>
            </w:r>
            <w:r>
              <w:rPr>
                <w:i/>
              </w:rPr>
              <w:t>r</w:t>
            </w:r>
            <w:r>
              <w:t>=.167)</w:t>
            </w:r>
          </w:p>
        </w:tc>
        <w:tc>
          <w:tcPr>
            <w:tcW w:w="1170" w:type="dxa"/>
          </w:tcPr>
          <w:p w14:paraId="71D6F670"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Moderate</w:t>
            </w:r>
          </w:p>
        </w:tc>
      </w:tr>
      <w:tr w:rsidR="006A2C5A" w14:paraId="34308021"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7C7DF3F5" w14:textId="77777777" w:rsidR="006A2C5A" w:rsidRDefault="00000000">
            <w:pPr>
              <w:spacing w:line="276" w:lineRule="auto"/>
            </w:pPr>
            <w:r>
              <w:t>Openness</w:t>
            </w:r>
            <w:r>
              <w:br/>
              <w:t>(</w:t>
            </w:r>
            <w:r>
              <w:rPr>
                <w:i/>
              </w:rPr>
              <w:t>k</w:t>
            </w:r>
            <w:r>
              <w:t xml:space="preserve">=9, </w:t>
            </w:r>
            <w:r>
              <w:rPr>
                <w:i/>
              </w:rPr>
              <w:t>N</w:t>
            </w:r>
            <w:r>
              <w:t>=3,363)</w:t>
            </w:r>
          </w:p>
        </w:tc>
        <w:tc>
          <w:tcPr>
            <w:tcW w:w="1170" w:type="dxa"/>
          </w:tcPr>
          <w:p w14:paraId="0704ECC0"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r>
              <w:rPr>
                <w:sz w:val="20"/>
              </w:rPr>
              <w:br/>
              <w:t>(mean JBI=5.78)</w:t>
            </w:r>
          </w:p>
        </w:tc>
        <w:tc>
          <w:tcPr>
            <w:tcW w:w="1170" w:type="dxa"/>
          </w:tcPr>
          <w:p w14:paraId="62FB4735"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t>Very serious</w:t>
            </w:r>
            <w:r>
              <w:br/>
              <w:t>(</w:t>
            </w:r>
            <w:r>
              <w:rPr>
                <w:i/>
              </w:rPr>
              <w:t>I²</w:t>
            </w:r>
            <w:r>
              <w:t>=92.0%)</w:t>
            </w:r>
          </w:p>
        </w:tc>
        <w:tc>
          <w:tcPr>
            <w:tcW w:w="1170" w:type="dxa"/>
          </w:tcPr>
          <w:p w14:paraId="5CE7A4B4"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p>
        </w:tc>
        <w:tc>
          <w:tcPr>
            <w:tcW w:w="1170" w:type="dxa"/>
          </w:tcPr>
          <w:p w14:paraId="3DA66F2C"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Serious</w:t>
            </w:r>
            <w:r>
              <w:rPr>
                <w:sz w:val="20"/>
              </w:rPr>
              <w:br/>
              <w:t>(CI crosses 0)</w:t>
            </w:r>
          </w:p>
        </w:tc>
        <w:tc>
          <w:tcPr>
            <w:tcW w:w="1170" w:type="dxa"/>
          </w:tcPr>
          <w:p w14:paraId="3503C666"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t>Serious</w:t>
            </w:r>
            <w:r>
              <w:br/>
              <w:t xml:space="preserve">(Egger </w:t>
            </w:r>
            <w:r>
              <w:rPr>
                <w:i/>
              </w:rPr>
              <w:t>p</w:t>
            </w:r>
            <w:r>
              <w:t>=.045) †</w:t>
            </w:r>
          </w:p>
        </w:tc>
        <w:tc>
          <w:tcPr>
            <w:tcW w:w="1170" w:type="dxa"/>
          </w:tcPr>
          <w:p w14:paraId="6CDF019B"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t>Small</w:t>
            </w:r>
            <w:r>
              <w:br/>
              <w:t>(</w:t>
            </w:r>
            <w:r>
              <w:rPr>
                <w:i/>
              </w:rPr>
              <w:t>r</w:t>
            </w:r>
            <w:r>
              <w:t>=.086)</w:t>
            </w:r>
          </w:p>
        </w:tc>
        <w:tc>
          <w:tcPr>
            <w:tcW w:w="1170" w:type="dxa"/>
          </w:tcPr>
          <w:p w14:paraId="424D8D3F"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Low</w:t>
            </w:r>
          </w:p>
        </w:tc>
      </w:tr>
      <w:tr w:rsidR="006A2C5A" w14:paraId="007A6AD5"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43B04E73" w14:textId="77777777" w:rsidR="006A2C5A" w:rsidRDefault="00000000">
            <w:pPr>
              <w:spacing w:line="276" w:lineRule="auto"/>
            </w:pPr>
            <w:r>
              <w:t>Extraversion</w:t>
            </w:r>
            <w:r>
              <w:br/>
              <w:t>(</w:t>
            </w:r>
            <w:r>
              <w:rPr>
                <w:i/>
              </w:rPr>
              <w:t>k</w:t>
            </w:r>
            <w:r>
              <w:t xml:space="preserve">=9, </w:t>
            </w:r>
            <w:r>
              <w:rPr>
                <w:i/>
              </w:rPr>
              <w:t>N</w:t>
            </w:r>
            <w:r>
              <w:t>=3,363)</w:t>
            </w:r>
          </w:p>
        </w:tc>
        <w:tc>
          <w:tcPr>
            <w:tcW w:w="1170" w:type="dxa"/>
          </w:tcPr>
          <w:p w14:paraId="5DBE7129"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(mean JBI=5.78)</w:t>
            </w:r>
          </w:p>
        </w:tc>
        <w:tc>
          <w:tcPr>
            <w:tcW w:w="1170" w:type="dxa"/>
          </w:tcPr>
          <w:p w14:paraId="6E08147F"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t>Serious</w:t>
            </w:r>
            <w:r>
              <w:br/>
              <w:t>(</w:t>
            </w:r>
            <w:r>
              <w:rPr>
                <w:i/>
              </w:rPr>
              <w:t>I²</w:t>
            </w:r>
            <w:r>
              <w:t>=75.5%)</w:t>
            </w:r>
          </w:p>
        </w:tc>
        <w:tc>
          <w:tcPr>
            <w:tcW w:w="1170" w:type="dxa"/>
          </w:tcPr>
          <w:p w14:paraId="47074DD6"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p>
        </w:tc>
        <w:tc>
          <w:tcPr>
            <w:tcW w:w="1170" w:type="dxa"/>
          </w:tcPr>
          <w:p w14:paraId="7E41F4C3"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(null robust)</w:t>
            </w:r>
          </w:p>
        </w:tc>
        <w:tc>
          <w:tcPr>
            <w:tcW w:w="1170" w:type="dxa"/>
          </w:tcPr>
          <w:p w14:paraId="4357DDDE"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t>Not serious</w:t>
            </w:r>
            <w:r>
              <w:br/>
              <w:t xml:space="preserve">(Egger </w:t>
            </w:r>
            <w:r>
              <w:rPr>
                <w:i/>
              </w:rPr>
              <w:t>p</w:t>
            </w:r>
            <w:r>
              <w:t>=.255)</w:t>
            </w:r>
          </w:p>
        </w:tc>
        <w:tc>
          <w:tcPr>
            <w:tcW w:w="1170" w:type="dxa"/>
          </w:tcPr>
          <w:p w14:paraId="1CE75F66"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t>Null</w:t>
            </w:r>
            <w:r>
              <w:br/>
              <w:t>(</w:t>
            </w:r>
            <w:r>
              <w:rPr>
                <w:i/>
              </w:rPr>
              <w:t>r</w:t>
            </w:r>
            <w:r>
              <w:t>=.002)</w:t>
            </w:r>
          </w:p>
        </w:tc>
        <w:tc>
          <w:tcPr>
            <w:tcW w:w="1170" w:type="dxa"/>
          </w:tcPr>
          <w:p w14:paraId="7343860C"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Moderate</w:t>
            </w:r>
          </w:p>
        </w:tc>
      </w:tr>
      <w:tr w:rsidR="006A2C5A" w14:paraId="63D2B1B7" w14:textId="77777777" w:rsidTr="006A2C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73611337" w14:textId="77777777" w:rsidR="006A2C5A" w:rsidRDefault="00000000">
            <w:pPr>
              <w:spacing w:line="276" w:lineRule="auto"/>
            </w:pPr>
            <w:r>
              <w:t>Agreeableness</w:t>
            </w:r>
            <w:r>
              <w:br/>
              <w:t>(</w:t>
            </w:r>
            <w:r>
              <w:rPr>
                <w:i/>
              </w:rPr>
              <w:t>k</w:t>
            </w:r>
            <w:r>
              <w:t xml:space="preserve">=9, </w:t>
            </w:r>
            <w:r>
              <w:rPr>
                <w:i/>
              </w:rPr>
              <w:t>N</w:t>
            </w:r>
            <w:r>
              <w:t>=3,363)</w:t>
            </w:r>
          </w:p>
        </w:tc>
        <w:tc>
          <w:tcPr>
            <w:tcW w:w="1170" w:type="dxa"/>
          </w:tcPr>
          <w:p w14:paraId="6E2B1AC4"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r>
              <w:rPr>
                <w:sz w:val="20"/>
              </w:rPr>
              <w:br/>
              <w:t>(mean JBI=5.78)</w:t>
            </w:r>
          </w:p>
        </w:tc>
        <w:tc>
          <w:tcPr>
            <w:tcW w:w="1170" w:type="dxa"/>
          </w:tcPr>
          <w:p w14:paraId="06AECB44"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t>Very serious</w:t>
            </w:r>
            <w:r>
              <w:br/>
              <w:t>(</w:t>
            </w:r>
            <w:r>
              <w:rPr>
                <w:i/>
              </w:rPr>
              <w:t>I²</w:t>
            </w:r>
            <w:r>
              <w:t>=96.2%)</w:t>
            </w:r>
          </w:p>
        </w:tc>
        <w:tc>
          <w:tcPr>
            <w:tcW w:w="1170" w:type="dxa"/>
          </w:tcPr>
          <w:p w14:paraId="7AB89F21"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Not serious</w:t>
            </w:r>
          </w:p>
        </w:tc>
        <w:tc>
          <w:tcPr>
            <w:tcW w:w="1170" w:type="dxa"/>
          </w:tcPr>
          <w:p w14:paraId="17BDB45F"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Serious</w:t>
            </w:r>
            <w:r>
              <w:rPr>
                <w:sz w:val="20"/>
              </w:rPr>
              <w:br/>
              <w:t>(CI crosses 0)</w:t>
            </w:r>
          </w:p>
        </w:tc>
        <w:tc>
          <w:tcPr>
            <w:tcW w:w="1170" w:type="dxa"/>
          </w:tcPr>
          <w:p w14:paraId="63BD4BE5"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t>Serious</w:t>
            </w:r>
            <w:r>
              <w:br/>
              <w:t xml:space="preserve">(Egger </w:t>
            </w:r>
            <w:r>
              <w:rPr>
                <w:i/>
              </w:rPr>
              <w:t>p</w:t>
            </w:r>
            <w:r>
              <w:t>=.072) †</w:t>
            </w:r>
          </w:p>
        </w:tc>
        <w:tc>
          <w:tcPr>
            <w:tcW w:w="1170" w:type="dxa"/>
          </w:tcPr>
          <w:p w14:paraId="7015708C"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t>Small</w:t>
            </w:r>
            <w:r>
              <w:br/>
              <w:t>(</w:t>
            </w:r>
            <w:r>
              <w:rPr>
                <w:i/>
              </w:rPr>
              <w:t>r</w:t>
            </w:r>
            <w:r>
              <w:t>=.112)</w:t>
            </w:r>
          </w:p>
        </w:tc>
        <w:tc>
          <w:tcPr>
            <w:tcW w:w="1170" w:type="dxa"/>
          </w:tcPr>
          <w:p w14:paraId="018B9B55" w14:textId="77777777" w:rsidR="006A2C5A" w:rsidRDefault="00000000">
            <w:pPr>
              <w:spacing w:line="276" w:lineRule="auto"/>
              <w:cnfStyle w:val="000000010000" w:firstRow="0" w:lastRow="0" w:firstColumn="0" w:lastColumn="0" w:oddVBand="0" w:evenVBand="0" w:oddHBand="0" w:evenHBand="1" w:firstRowFirstColumn="0" w:firstRowLastColumn="0" w:lastRowFirstColumn="0" w:lastRowLastColumn="0"/>
            </w:pPr>
            <w:r>
              <w:rPr>
                <w:sz w:val="20"/>
              </w:rPr>
              <w:t>Low</w:t>
            </w:r>
          </w:p>
        </w:tc>
      </w:tr>
      <w:tr w:rsidR="006A2C5A" w14:paraId="344E09BA" w14:textId="77777777" w:rsidTr="006A2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24F8AF45" w14:textId="77777777" w:rsidR="006A2C5A" w:rsidRDefault="00000000">
            <w:pPr>
              <w:spacing w:line="276" w:lineRule="auto"/>
            </w:pPr>
            <w:r>
              <w:t>Neuroticism</w:t>
            </w:r>
            <w:r>
              <w:br/>
              <w:t>(</w:t>
            </w:r>
            <w:r>
              <w:rPr>
                <w:i/>
              </w:rPr>
              <w:t>k</w:t>
            </w:r>
            <w:r>
              <w:t xml:space="preserve">=10, </w:t>
            </w:r>
            <w:r>
              <w:rPr>
                <w:i/>
              </w:rPr>
              <w:t>N</w:t>
            </w:r>
            <w:r>
              <w:t>=3,384)</w:t>
            </w:r>
          </w:p>
        </w:tc>
        <w:tc>
          <w:tcPr>
            <w:tcW w:w="1170" w:type="dxa"/>
          </w:tcPr>
          <w:p w14:paraId="7368BDAF"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r>
              <w:rPr>
                <w:sz w:val="20"/>
              </w:rPr>
              <w:br/>
              <w:t>(mean JBI=5.80)</w:t>
            </w:r>
          </w:p>
        </w:tc>
        <w:tc>
          <w:tcPr>
            <w:tcW w:w="1170" w:type="dxa"/>
          </w:tcPr>
          <w:p w14:paraId="1441D7B1"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t>Serious</w:t>
            </w:r>
            <w:r>
              <w:br/>
              <w:t>(</w:t>
            </w:r>
            <w:r>
              <w:rPr>
                <w:i/>
              </w:rPr>
              <w:t>I²</w:t>
            </w:r>
            <w:r>
              <w:t>=79.0%)</w:t>
            </w:r>
          </w:p>
        </w:tc>
        <w:tc>
          <w:tcPr>
            <w:tcW w:w="1170" w:type="dxa"/>
          </w:tcPr>
          <w:p w14:paraId="3CFC512E"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Not serious</w:t>
            </w:r>
          </w:p>
        </w:tc>
        <w:tc>
          <w:tcPr>
            <w:tcW w:w="1170" w:type="dxa"/>
          </w:tcPr>
          <w:p w14:paraId="36C32E2C"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Serious</w:t>
            </w:r>
            <w:r>
              <w:rPr>
                <w:sz w:val="20"/>
              </w:rPr>
              <w:br/>
              <w:t>(null, wide CI)</w:t>
            </w:r>
          </w:p>
        </w:tc>
        <w:tc>
          <w:tcPr>
            <w:tcW w:w="1170" w:type="dxa"/>
          </w:tcPr>
          <w:p w14:paraId="78CF2D5D"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t>Not serious</w:t>
            </w:r>
            <w:r>
              <w:br/>
              <w:t xml:space="preserve">(Egger </w:t>
            </w:r>
            <w:r>
              <w:rPr>
                <w:i/>
              </w:rPr>
              <w:t>p</w:t>
            </w:r>
            <w:r>
              <w:t>=.304)</w:t>
            </w:r>
          </w:p>
        </w:tc>
        <w:tc>
          <w:tcPr>
            <w:tcW w:w="1170" w:type="dxa"/>
          </w:tcPr>
          <w:p w14:paraId="3F0C51C1"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t>Null</w:t>
            </w:r>
            <w:r>
              <w:br/>
              <w:t>(</w:t>
            </w:r>
            <w:r>
              <w:rPr>
                <w:i/>
              </w:rPr>
              <w:t>r</w:t>
            </w:r>
            <w:r>
              <w:t>=.018)</w:t>
            </w:r>
          </w:p>
        </w:tc>
        <w:tc>
          <w:tcPr>
            <w:tcW w:w="1170" w:type="dxa"/>
          </w:tcPr>
          <w:p w14:paraId="56A93473" w14:textId="77777777" w:rsidR="006A2C5A" w:rsidRDefault="00000000">
            <w:pPr>
              <w:spacing w:line="276" w:lineRule="auto"/>
              <w:cnfStyle w:val="000000100000" w:firstRow="0" w:lastRow="0" w:firstColumn="0" w:lastColumn="0" w:oddVBand="0" w:evenVBand="0" w:oddHBand="1" w:evenHBand="0" w:firstRowFirstColumn="0" w:firstRowLastColumn="0" w:lastRowFirstColumn="0" w:lastRowLastColumn="0"/>
            </w:pPr>
            <w:r>
              <w:rPr>
                <w:sz w:val="20"/>
              </w:rPr>
              <w:t>Low</w:t>
            </w:r>
          </w:p>
        </w:tc>
      </w:tr>
    </w:tbl>
    <w:p w14:paraId="30D7F844" w14:textId="77777777" w:rsidR="006A2C5A" w:rsidRDefault="00000000">
      <w:pPr>
        <w:spacing w:after="0" w:line="480" w:lineRule="auto"/>
      </w:pPr>
      <w: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i/>
        </w:rPr>
        <w:t>I²</w:t>
      </w:r>
      <w:r>
        <w:t xml:space="preserve"> and prediction interval; serious if </w:t>
      </w:r>
      <w:r>
        <w:rPr>
          <w:i/>
        </w:rPr>
        <w:t>I²</w:t>
      </w:r>
      <w:r>
        <w:t xml:space="preserve"> &gt; 50%, very serious if </w:t>
      </w:r>
      <w:r>
        <w:rPr>
          <w:i/>
        </w:rPr>
        <w:t>I²</w:t>
      </w:r>
      <w:r>
        <w:t xml:space="preserve"> &gt; 75%), Indirectness (population, exposure, or outcome indirectness relative to the review question), Imprecision (serious if 95% CI crosses the null or is wider than 2 × MOI of |r| = .10), and Publication Bias (serious if Egger's test is significant at </w:t>
      </w:r>
      <w:r>
        <w:rPr>
          <w:i/>
        </w:rPr>
        <w:t>p</w:t>
      </w:r>
      <w:r>
        <w:t xml:space="preserve"> &lt; .05 with asymmetric </w:t>
      </w:r>
      <w:r>
        <w:lastRenderedPageBreak/>
        <w:t xml:space="preserve">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i/>
        </w:rPr>
        <w:t>k</w:t>
      </w:r>
      <w:r>
        <w:t xml:space="preserve"> of the available online-specific literature.</w:t>
      </w:r>
    </w:p>
    <w:p w14:paraId="685C1E6B" w14:textId="77777777" w:rsidR="006A2C5A" w:rsidRDefault="00000000">
      <w:r>
        <w:br w:type="page"/>
      </w:r>
    </w:p>
    <w:p w14:paraId="3107E748" w14:textId="77777777" w:rsidR="006A2C5A" w:rsidRDefault="00000000">
      <w:pPr>
        <w:spacing w:after="0" w:line="480" w:lineRule="auto"/>
      </w:pPr>
      <w:r>
        <w:rPr>
          <w:b/>
        </w:rPr>
        <w:lastRenderedPageBreak/>
        <w:t>Figure 1</w:t>
      </w:r>
    </w:p>
    <w:p w14:paraId="17408B07" w14:textId="77777777" w:rsidR="006A2C5A" w:rsidRDefault="00000000">
      <w:pPr>
        <w:spacing w:after="0" w:line="480" w:lineRule="auto"/>
      </w:pPr>
      <w:r>
        <w:rPr>
          <w:i/>
        </w:rPr>
        <w:t>PRISMA 2020 Flow Diagram of the Study Selection Process</w:t>
      </w:r>
    </w:p>
    <w:p w14:paraId="2222452A" w14:textId="77777777" w:rsidR="006A2C5A" w:rsidRDefault="00000000">
      <w:pPr>
        <w:jc w:val="center"/>
      </w:pPr>
      <w:r>
        <w:rPr>
          <w:noProof/>
        </w:rPr>
        <w:drawing>
          <wp:inline distT="0" distB="0" distL="0" distR="0" wp14:anchorId="7478FF62" wp14:editId="60EA4C82">
            <wp:extent cx="5486400" cy="72514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flow.png"/>
                    <pic:cNvPicPr/>
                  </pic:nvPicPr>
                  <pic:blipFill>
                    <a:blip r:embed="rId8"/>
                    <a:stretch>
                      <a:fillRect/>
                    </a:stretch>
                  </pic:blipFill>
                  <pic:spPr>
                    <a:xfrm>
                      <a:off x="0" y="0"/>
                      <a:ext cx="5486400" cy="7251492"/>
                    </a:xfrm>
                    <a:prstGeom prst="rect">
                      <a:avLst/>
                    </a:prstGeom>
                  </pic:spPr>
                </pic:pic>
              </a:graphicData>
            </a:graphic>
          </wp:inline>
        </w:drawing>
      </w:r>
    </w:p>
    <w:p w14:paraId="17C429E3" w14:textId="77777777" w:rsidR="006A2C5A" w:rsidRDefault="00000000">
      <w:pPr>
        <w:spacing w:after="0" w:line="480" w:lineRule="auto"/>
      </w:pPr>
      <w:r>
        <w:lastRenderedPageBreak/>
        <w:t>Note. Flow diagram adapted from the PRISMA 2020 statement (Page et al., 2021). Records were identified through WebSearch-based formal search (</w:t>
      </w:r>
      <w:r>
        <w:rPr>
          <w:i/>
        </w:rPr>
        <w:t>n</w:t>
      </w:r>
      <w:r>
        <w:t xml:space="preserve"> = 80 from eight structured queries), preliminary informal search yielding a previously curated corpus (</w:t>
      </w:r>
      <w:r>
        <w:rPr>
          <w:i/>
        </w:rPr>
        <w:t>n</w:t>
      </w:r>
      <w:r>
        <w:t xml:space="preserve"> = 28), and citation snowballing combined with open-access repository downloads (</w:t>
      </w:r>
      <w:r>
        <w:rPr>
          <w:i/>
        </w:rPr>
        <w:t>n</w:t>
      </w:r>
      <w:r>
        <w:t xml:space="preserve"> = 12), for a total of 120 records. After deduplication (</w:t>
      </w:r>
      <w:r>
        <w:rPr>
          <w:i/>
        </w:rPr>
        <w:t>n</w:t>
      </w:r>
      <w: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i/>
        </w:rPr>
        <w:t>n</w:t>
      </w:r>
      <w:r>
        <w:t xml:space="preserve"> = 5; MBTI, Proactive Personality, TAM, TUE, and other non-FFM operationalization), face-to-face modality (</w:t>
      </w:r>
      <w:r>
        <w:rPr>
          <w:i/>
        </w:rPr>
        <w:t>n</w:t>
      </w:r>
      <w:r>
        <w:t xml:space="preserve"> = 4; A-09 Bhattacharjee &amp; Ramkumar, 2025; A-10 Boonyapison et al., 2025; A-14 Eilam et al., 2009; A-16 Hidalgo-Fuentes et al., 2024), sample overlap with an already-included study (</w:t>
      </w:r>
      <w:r>
        <w:rPr>
          <w:i/>
        </w:rPr>
        <w:t>n</w:t>
      </w:r>
      <w:r>
        <w:t xml:space="preserve"> = 1; A-05 Audet et al., 2023 overlapped with A-04 Audet et al., 2021), and effect size not extractable (</w:t>
      </w:r>
      <w:r>
        <w:rPr>
          <w:i/>
        </w:rPr>
        <w:t>n</w:t>
      </w:r>
      <w: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14:paraId="5B87A3D5" w14:textId="77777777" w:rsidR="006A2C5A" w:rsidRDefault="00000000">
      <w:r>
        <w:br w:type="page"/>
      </w:r>
    </w:p>
    <w:p w14:paraId="7DA50F52" w14:textId="77777777" w:rsidR="006A2C5A" w:rsidRDefault="00000000">
      <w:pPr>
        <w:spacing w:after="0" w:line="480" w:lineRule="auto"/>
      </w:pPr>
      <w:r>
        <w:rPr>
          <w:b/>
        </w:rPr>
        <w:lastRenderedPageBreak/>
        <w:t>Figure 2</w:t>
      </w:r>
    </w:p>
    <w:p w14:paraId="4049C10A" w14:textId="77777777" w:rsidR="006A2C5A" w:rsidRDefault="00000000">
      <w:pPr>
        <w:spacing w:after="0" w:line="480" w:lineRule="auto"/>
      </w:pPr>
      <w:r>
        <w:rPr>
          <w:i/>
        </w:rPr>
        <w:t>Forest Plot: Conscientiousness and Academic Achievement in Online Learning Environments</w:t>
      </w:r>
    </w:p>
    <w:p w14:paraId="687F6709" w14:textId="77777777" w:rsidR="006A2C5A" w:rsidRDefault="00000000">
      <w:pPr>
        <w:jc w:val="center"/>
      </w:pPr>
      <w:r>
        <w:rPr>
          <w:noProof/>
        </w:rPr>
        <w:drawing>
          <wp:inline distT="0" distB="0" distL="0" distR="0" wp14:anchorId="17860573" wp14:editId="0B8BC7AD">
            <wp:extent cx="5486400" cy="36207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C.png"/>
                    <pic:cNvPicPr/>
                  </pic:nvPicPr>
                  <pic:blipFill>
                    <a:blip r:embed="rId9"/>
                    <a:stretch>
                      <a:fillRect/>
                    </a:stretch>
                  </pic:blipFill>
                  <pic:spPr>
                    <a:xfrm>
                      <a:off x="0" y="0"/>
                      <a:ext cx="5486400" cy="3620779"/>
                    </a:xfrm>
                    <a:prstGeom prst="rect">
                      <a:avLst/>
                    </a:prstGeom>
                  </pic:spPr>
                </pic:pic>
              </a:graphicData>
            </a:graphic>
          </wp:inline>
        </w:drawing>
      </w:r>
    </w:p>
    <w:p w14:paraId="7AA0AC44" w14:textId="77777777" w:rsidR="006A2C5A" w:rsidRDefault="00000000">
      <w:pPr>
        <w:spacing w:after="0" w:line="480" w:lineRule="auto"/>
      </w:pPr>
      <w:r>
        <w:rPr>
          <w:i/>
          <w:sz w:val="22"/>
        </w:rPr>
        <w:t xml:space="preserve">Note. </w:t>
      </w:r>
      <w:r>
        <w:rPr>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00FDB168" w14:textId="77777777" w:rsidR="006A2C5A" w:rsidRDefault="00000000">
      <w:r>
        <w:br w:type="page"/>
      </w:r>
    </w:p>
    <w:p w14:paraId="1F8B8A45" w14:textId="77777777" w:rsidR="006A2C5A" w:rsidRDefault="00000000">
      <w:pPr>
        <w:spacing w:after="0" w:line="480" w:lineRule="auto"/>
      </w:pPr>
      <w:r>
        <w:rPr>
          <w:b/>
        </w:rPr>
        <w:lastRenderedPageBreak/>
        <w:t>Figure 3</w:t>
      </w:r>
    </w:p>
    <w:p w14:paraId="47444857" w14:textId="77777777" w:rsidR="006A2C5A" w:rsidRDefault="00000000">
      <w:pPr>
        <w:spacing w:after="0" w:line="480" w:lineRule="auto"/>
      </w:pPr>
      <w:r>
        <w:rPr>
          <w:i/>
        </w:rPr>
        <w:t>Forest Plot: Agreeableness and Academic Achievement in Online Learning Environments</w:t>
      </w:r>
    </w:p>
    <w:p w14:paraId="21981DB1" w14:textId="77777777" w:rsidR="006A2C5A" w:rsidRDefault="00000000">
      <w:pPr>
        <w:jc w:val="center"/>
      </w:pPr>
      <w:r>
        <w:rPr>
          <w:noProof/>
        </w:rPr>
        <w:drawing>
          <wp:inline distT="0" distB="0" distL="0" distR="0" wp14:anchorId="0C77E27C" wp14:editId="6E387015">
            <wp:extent cx="5486400" cy="34039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A.png"/>
                    <pic:cNvPicPr/>
                  </pic:nvPicPr>
                  <pic:blipFill>
                    <a:blip r:embed="rId10"/>
                    <a:stretch>
                      <a:fillRect/>
                    </a:stretch>
                  </pic:blipFill>
                  <pic:spPr>
                    <a:xfrm>
                      <a:off x="0" y="0"/>
                      <a:ext cx="5486400" cy="3403941"/>
                    </a:xfrm>
                    <a:prstGeom prst="rect">
                      <a:avLst/>
                    </a:prstGeom>
                  </pic:spPr>
                </pic:pic>
              </a:graphicData>
            </a:graphic>
          </wp:inline>
        </w:drawing>
      </w:r>
    </w:p>
    <w:p w14:paraId="63B7D6A1" w14:textId="77777777" w:rsidR="006A2C5A" w:rsidRDefault="00000000">
      <w:pPr>
        <w:spacing w:after="0" w:line="480" w:lineRule="auto"/>
      </w:pPr>
      <w:r>
        <w:rPr>
          <w:i/>
          <w:sz w:val="22"/>
        </w:rPr>
        <w:t xml:space="preserve">Note. </w:t>
      </w:r>
      <w:r>
        <w:rPr>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1EB1DBB2" w14:textId="77777777" w:rsidR="006A2C5A" w:rsidRDefault="00000000">
      <w:r>
        <w:br w:type="page"/>
      </w:r>
    </w:p>
    <w:p w14:paraId="28460326" w14:textId="77777777" w:rsidR="006A2C5A" w:rsidRDefault="00000000">
      <w:pPr>
        <w:spacing w:after="0" w:line="480" w:lineRule="auto"/>
      </w:pPr>
      <w:r>
        <w:rPr>
          <w:b/>
        </w:rPr>
        <w:lastRenderedPageBreak/>
        <w:t>Figure 4</w:t>
      </w:r>
    </w:p>
    <w:p w14:paraId="20F38739" w14:textId="77777777" w:rsidR="006A2C5A" w:rsidRDefault="00000000">
      <w:pPr>
        <w:spacing w:after="0" w:line="480" w:lineRule="auto"/>
      </w:pPr>
      <w:r>
        <w:rPr>
          <w:i/>
        </w:rPr>
        <w:t>Forest Plot: Openness and Academic Achievement in Online Learning Environments</w:t>
      </w:r>
    </w:p>
    <w:p w14:paraId="399754F2" w14:textId="77777777" w:rsidR="006A2C5A" w:rsidRDefault="00000000">
      <w:pPr>
        <w:jc w:val="center"/>
      </w:pPr>
      <w:r>
        <w:rPr>
          <w:noProof/>
        </w:rPr>
        <w:drawing>
          <wp:inline distT="0" distB="0" distL="0" distR="0" wp14:anchorId="0630C8F3" wp14:editId="1899B45F">
            <wp:extent cx="5486400" cy="34039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O.png"/>
                    <pic:cNvPicPr/>
                  </pic:nvPicPr>
                  <pic:blipFill>
                    <a:blip r:embed="rId11"/>
                    <a:stretch>
                      <a:fillRect/>
                    </a:stretch>
                  </pic:blipFill>
                  <pic:spPr>
                    <a:xfrm>
                      <a:off x="0" y="0"/>
                      <a:ext cx="5486400" cy="3403941"/>
                    </a:xfrm>
                    <a:prstGeom prst="rect">
                      <a:avLst/>
                    </a:prstGeom>
                  </pic:spPr>
                </pic:pic>
              </a:graphicData>
            </a:graphic>
          </wp:inline>
        </w:drawing>
      </w:r>
    </w:p>
    <w:p w14:paraId="7DA2AD70" w14:textId="77777777" w:rsidR="006A2C5A" w:rsidRDefault="00000000">
      <w:pPr>
        <w:spacing w:after="0" w:line="480" w:lineRule="auto"/>
      </w:pPr>
      <w:r>
        <w:rPr>
          <w:i/>
          <w:sz w:val="22"/>
        </w:rPr>
        <w:t xml:space="preserve">Note. </w:t>
      </w:r>
      <w:r>
        <w:rPr>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64E4A69C" w14:textId="77777777" w:rsidR="006A2C5A" w:rsidRDefault="00000000">
      <w:r>
        <w:br w:type="page"/>
      </w:r>
    </w:p>
    <w:p w14:paraId="32D89181" w14:textId="77777777" w:rsidR="006A2C5A" w:rsidRDefault="00000000">
      <w:pPr>
        <w:spacing w:after="0" w:line="480" w:lineRule="auto"/>
      </w:pPr>
      <w:r>
        <w:rPr>
          <w:b/>
        </w:rPr>
        <w:lastRenderedPageBreak/>
        <w:t>Figure 5</w:t>
      </w:r>
    </w:p>
    <w:p w14:paraId="3952CBBE" w14:textId="77777777" w:rsidR="006A2C5A" w:rsidRDefault="00000000">
      <w:pPr>
        <w:spacing w:after="0" w:line="480" w:lineRule="auto"/>
      </w:pPr>
      <w:r>
        <w:rPr>
          <w:i/>
        </w:rPr>
        <w:t>Forest Plot: Neuroticism and Academic Achievement in Online Learning Environments</w:t>
      </w:r>
    </w:p>
    <w:p w14:paraId="385F159C" w14:textId="77777777" w:rsidR="006A2C5A" w:rsidRDefault="00000000">
      <w:pPr>
        <w:jc w:val="center"/>
      </w:pPr>
      <w:r>
        <w:rPr>
          <w:noProof/>
        </w:rPr>
        <w:drawing>
          <wp:inline distT="0" distB="0" distL="0" distR="0" wp14:anchorId="5BA96CCA" wp14:editId="0DBF57C7">
            <wp:extent cx="5486400" cy="36207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N.png"/>
                    <pic:cNvPicPr/>
                  </pic:nvPicPr>
                  <pic:blipFill>
                    <a:blip r:embed="rId12"/>
                    <a:stretch>
                      <a:fillRect/>
                    </a:stretch>
                  </pic:blipFill>
                  <pic:spPr>
                    <a:xfrm>
                      <a:off x="0" y="0"/>
                      <a:ext cx="5486400" cy="3620779"/>
                    </a:xfrm>
                    <a:prstGeom prst="rect">
                      <a:avLst/>
                    </a:prstGeom>
                  </pic:spPr>
                </pic:pic>
              </a:graphicData>
            </a:graphic>
          </wp:inline>
        </w:drawing>
      </w:r>
    </w:p>
    <w:p w14:paraId="32CCD67E" w14:textId="77777777" w:rsidR="006A2C5A" w:rsidRDefault="00000000">
      <w:pPr>
        <w:spacing w:after="0" w:line="480" w:lineRule="auto"/>
      </w:pPr>
      <w:r>
        <w:rPr>
          <w:i/>
          <w:sz w:val="22"/>
        </w:rPr>
        <w:t xml:space="preserve">Note. </w:t>
      </w:r>
      <w:r>
        <w:rPr>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774D6AEC" w14:textId="77777777" w:rsidR="006A2C5A" w:rsidRDefault="00000000">
      <w:r>
        <w:br w:type="page"/>
      </w:r>
    </w:p>
    <w:p w14:paraId="700BE70D" w14:textId="77777777" w:rsidR="006A2C5A" w:rsidRDefault="00000000">
      <w:pPr>
        <w:spacing w:after="0" w:line="480" w:lineRule="auto"/>
      </w:pPr>
      <w:r>
        <w:rPr>
          <w:b/>
        </w:rPr>
        <w:lastRenderedPageBreak/>
        <w:t>Figure 6</w:t>
      </w:r>
    </w:p>
    <w:p w14:paraId="13ABDFBA" w14:textId="77777777" w:rsidR="006A2C5A" w:rsidRDefault="00000000">
      <w:pPr>
        <w:spacing w:after="0" w:line="480" w:lineRule="auto"/>
      </w:pPr>
      <w:r>
        <w:rPr>
          <w:i/>
        </w:rPr>
        <w:t>Forest Plot: Extraversion and Academic Achievement in Online Learning Environments</w:t>
      </w:r>
    </w:p>
    <w:p w14:paraId="43B29BBE" w14:textId="77777777" w:rsidR="006A2C5A" w:rsidRDefault="00000000">
      <w:pPr>
        <w:jc w:val="center"/>
      </w:pPr>
      <w:r>
        <w:rPr>
          <w:noProof/>
        </w:rPr>
        <w:drawing>
          <wp:inline distT="0" distB="0" distL="0" distR="0" wp14:anchorId="00973155" wp14:editId="434C3AA8">
            <wp:extent cx="5486400" cy="34039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E.png"/>
                    <pic:cNvPicPr/>
                  </pic:nvPicPr>
                  <pic:blipFill>
                    <a:blip r:embed="rId13"/>
                    <a:stretch>
                      <a:fillRect/>
                    </a:stretch>
                  </pic:blipFill>
                  <pic:spPr>
                    <a:xfrm>
                      <a:off x="0" y="0"/>
                      <a:ext cx="5486400" cy="3403941"/>
                    </a:xfrm>
                    <a:prstGeom prst="rect">
                      <a:avLst/>
                    </a:prstGeom>
                  </pic:spPr>
                </pic:pic>
              </a:graphicData>
            </a:graphic>
          </wp:inline>
        </w:drawing>
      </w:r>
    </w:p>
    <w:p w14:paraId="360D9234" w14:textId="77777777" w:rsidR="006A2C5A" w:rsidRDefault="00000000">
      <w:pPr>
        <w:spacing w:after="0" w:line="480" w:lineRule="auto"/>
      </w:pPr>
      <w:r>
        <w:rPr>
          <w:i/>
          <w:sz w:val="22"/>
        </w:rPr>
        <w:t xml:space="preserve">Note. </w:t>
      </w:r>
      <w:r>
        <w:rPr>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14:paraId="41AEA7FC" w14:textId="77777777" w:rsidR="006A2C5A" w:rsidRDefault="00000000">
      <w:r>
        <w:br w:type="page"/>
      </w:r>
    </w:p>
    <w:p w14:paraId="646F593E" w14:textId="77777777" w:rsidR="006A2C5A" w:rsidRDefault="00000000">
      <w:pPr>
        <w:spacing w:after="0" w:line="480" w:lineRule="auto"/>
      </w:pPr>
      <w:r>
        <w:rPr>
          <w:b/>
        </w:rPr>
        <w:lastRenderedPageBreak/>
        <w:t>Figure 7</w:t>
      </w:r>
    </w:p>
    <w:p w14:paraId="1EBF928A" w14:textId="77777777" w:rsidR="006A2C5A" w:rsidRDefault="00000000">
      <w:pPr>
        <w:spacing w:after="0" w:line="480" w:lineRule="auto"/>
      </w:pPr>
      <w:r>
        <w:rPr>
          <w:i/>
        </w:rPr>
        <w:t>Funnel Plot: Conscientiousness and Academic Achievement in Online Learning Environments</w:t>
      </w:r>
    </w:p>
    <w:p w14:paraId="36658B01" w14:textId="77777777" w:rsidR="006A2C5A" w:rsidRDefault="00000000">
      <w:pPr>
        <w:jc w:val="center"/>
      </w:pPr>
      <w:r>
        <w:rPr>
          <w:noProof/>
        </w:rPr>
        <w:drawing>
          <wp:inline distT="0" distB="0" distL="0" distR="0" wp14:anchorId="5E732263" wp14:editId="01FB0FBA">
            <wp:extent cx="4572000" cy="39093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C.png"/>
                    <pic:cNvPicPr/>
                  </pic:nvPicPr>
                  <pic:blipFill>
                    <a:blip r:embed="rId14"/>
                    <a:stretch>
                      <a:fillRect/>
                    </a:stretch>
                  </pic:blipFill>
                  <pic:spPr>
                    <a:xfrm>
                      <a:off x="0" y="0"/>
                      <a:ext cx="4572000" cy="3909391"/>
                    </a:xfrm>
                    <a:prstGeom prst="rect">
                      <a:avLst/>
                    </a:prstGeom>
                  </pic:spPr>
                </pic:pic>
              </a:graphicData>
            </a:graphic>
          </wp:inline>
        </w:drawing>
      </w:r>
    </w:p>
    <w:p w14:paraId="70927B27" w14:textId="77777777" w:rsidR="006A2C5A" w:rsidRDefault="00000000">
      <w:pPr>
        <w:spacing w:after="0" w:line="480" w:lineRule="auto"/>
      </w:pPr>
      <w: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i/>
        </w:rPr>
        <w:t>p</w:t>
      </w:r>
      <w:r>
        <w:t xml:space="preserve"> = .094. See Table 4 for full publication-bias assessment.</w:t>
      </w:r>
    </w:p>
    <w:p w14:paraId="3E8B868C" w14:textId="77777777" w:rsidR="006A2C5A" w:rsidRDefault="00000000">
      <w:r>
        <w:br w:type="page"/>
      </w:r>
    </w:p>
    <w:p w14:paraId="09B57A9C" w14:textId="77777777" w:rsidR="006A2C5A" w:rsidRDefault="00000000">
      <w:pPr>
        <w:spacing w:after="0" w:line="480" w:lineRule="auto"/>
      </w:pPr>
      <w:r>
        <w:rPr>
          <w:b/>
        </w:rPr>
        <w:lastRenderedPageBreak/>
        <w:t>Figure 8</w:t>
      </w:r>
    </w:p>
    <w:p w14:paraId="122D6CAB" w14:textId="77777777" w:rsidR="006A2C5A" w:rsidRDefault="00000000">
      <w:pPr>
        <w:spacing w:after="0" w:line="480" w:lineRule="auto"/>
      </w:pPr>
      <w:r>
        <w:rPr>
          <w:i/>
        </w:rPr>
        <w:t>Funnel Plot: Agreeableness and Academic Achievement in Online Learning Environments</w:t>
      </w:r>
    </w:p>
    <w:p w14:paraId="73AEA639" w14:textId="77777777" w:rsidR="006A2C5A" w:rsidRDefault="00000000">
      <w:pPr>
        <w:jc w:val="center"/>
      </w:pPr>
      <w:r>
        <w:rPr>
          <w:noProof/>
        </w:rPr>
        <w:drawing>
          <wp:inline distT="0" distB="0" distL="0" distR="0" wp14:anchorId="17970B4B" wp14:editId="189902FC">
            <wp:extent cx="4572000" cy="39093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A.png"/>
                    <pic:cNvPicPr/>
                  </pic:nvPicPr>
                  <pic:blipFill>
                    <a:blip r:embed="rId15"/>
                    <a:stretch>
                      <a:fillRect/>
                    </a:stretch>
                  </pic:blipFill>
                  <pic:spPr>
                    <a:xfrm>
                      <a:off x="0" y="0"/>
                      <a:ext cx="4572000" cy="3909391"/>
                    </a:xfrm>
                    <a:prstGeom prst="rect">
                      <a:avLst/>
                    </a:prstGeom>
                  </pic:spPr>
                </pic:pic>
              </a:graphicData>
            </a:graphic>
          </wp:inline>
        </w:drawing>
      </w:r>
    </w:p>
    <w:p w14:paraId="0E2BCB33" w14:textId="77777777" w:rsidR="006A2C5A" w:rsidRDefault="00000000">
      <w:pPr>
        <w:spacing w:after="0" w:line="480" w:lineRule="auto"/>
      </w:pPr>
      <w: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i/>
        </w:rPr>
        <w:t>p</w:t>
      </w:r>
      <w:r>
        <w:t xml:space="preserve"> = .072. See Table 4 for full publication-bias assessment.</w:t>
      </w:r>
    </w:p>
    <w:p w14:paraId="411F2BFC" w14:textId="77777777" w:rsidR="006A2C5A" w:rsidRDefault="00000000">
      <w:r>
        <w:br w:type="page"/>
      </w:r>
    </w:p>
    <w:p w14:paraId="63E72ED2" w14:textId="77777777" w:rsidR="006A2C5A" w:rsidRDefault="00000000">
      <w:pPr>
        <w:spacing w:after="0" w:line="480" w:lineRule="auto"/>
      </w:pPr>
      <w:r>
        <w:rPr>
          <w:b/>
        </w:rPr>
        <w:lastRenderedPageBreak/>
        <w:t>Figure 9</w:t>
      </w:r>
    </w:p>
    <w:p w14:paraId="36FC2B0C" w14:textId="77777777" w:rsidR="006A2C5A" w:rsidRDefault="00000000">
      <w:pPr>
        <w:spacing w:after="0" w:line="480" w:lineRule="auto"/>
      </w:pPr>
      <w:r>
        <w:rPr>
          <w:i/>
        </w:rPr>
        <w:t>Funnel Plot: Openness and Academic Achievement in Online Learning Environments</w:t>
      </w:r>
    </w:p>
    <w:p w14:paraId="030C2F66" w14:textId="77777777" w:rsidR="006A2C5A" w:rsidRDefault="00000000">
      <w:pPr>
        <w:jc w:val="center"/>
      </w:pPr>
      <w:r>
        <w:rPr>
          <w:noProof/>
        </w:rPr>
        <w:drawing>
          <wp:inline distT="0" distB="0" distL="0" distR="0" wp14:anchorId="411433A5" wp14:editId="3F0E2053">
            <wp:extent cx="4572000" cy="39093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O.png"/>
                    <pic:cNvPicPr/>
                  </pic:nvPicPr>
                  <pic:blipFill>
                    <a:blip r:embed="rId16"/>
                    <a:stretch>
                      <a:fillRect/>
                    </a:stretch>
                  </pic:blipFill>
                  <pic:spPr>
                    <a:xfrm>
                      <a:off x="0" y="0"/>
                      <a:ext cx="4572000" cy="3909391"/>
                    </a:xfrm>
                    <a:prstGeom prst="rect">
                      <a:avLst/>
                    </a:prstGeom>
                  </pic:spPr>
                </pic:pic>
              </a:graphicData>
            </a:graphic>
          </wp:inline>
        </w:drawing>
      </w:r>
    </w:p>
    <w:p w14:paraId="05830CD6" w14:textId="77777777" w:rsidR="006A2C5A" w:rsidRDefault="00000000">
      <w:pPr>
        <w:spacing w:after="0" w:line="480" w:lineRule="auto"/>
      </w:pPr>
      <w: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i/>
        </w:rPr>
        <w:t>p</w:t>
      </w:r>
      <w:r>
        <w:t xml:space="preserve"> = .045. See Table 4 for full publication-bias assessment.</w:t>
      </w:r>
    </w:p>
    <w:p w14:paraId="0F902ABD" w14:textId="77777777" w:rsidR="006A2C5A" w:rsidRDefault="00000000">
      <w:r>
        <w:br w:type="page"/>
      </w:r>
    </w:p>
    <w:p w14:paraId="28C45996" w14:textId="77777777" w:rsidR="006A2C5A" w:rsidRDefault="00000000">
      <w:pPr>
        <w:spacing w:after="0" w:line="480" w:lineRule="auto"/>
      </w:pPr>
      <w:r>
        <w:rPr>
          <w:b/>
        </w:rPr>
        <w:t>Figure 10</w:t>
      </w:r>
    </w:p>
    <w:p w14:paraId="0FAD9E48" w14:textId="77777777" w:rsidR="006A2C5A" w:rsidRDefault="00000000">
      <w:pPr>
        <w:spacing w:after="0" w:line="480" w:lineRule="auto"/>
      </w:pPr>
      <w:r>
        <w:rPr>
          <w:i/>
        </w:rPr>
        <w:t>Funnel Plot: Neuroticism and Academic Achievement in Online Learning Environments</w:t>
      </w:r>
    </w:p>
    <w:p w14:paraId="129DF6A1" w14:textId="77777777" w:rsidR="006A2C5A" w:rsidRDefault="00000000">
      <w:pPr>
        <w:jc w:val="center"/>
      </w:pPr>
      <w:r>
        <w:rPr>
          <w:noProof/>
        </w:rPr>
        <w:drawing>
          <wp:inline distT="0" distB="0" distL="0" distR="0" wp14:anchorId="1BFAF2C3" wp14:editId="053FD7D1">
            <wp:extent cx="4572000" cy="390939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N.png"/>
                    <pic:cNvPicPr/>
                  </pic:nvPicPr>
                  <pic:blipFill>
                    <a:blip r:embed="rId17"/>
                    <a:stretch>
                      <a:fillRect/>
                    </a:stretch>
                  </pic:blipFill>
                  <pic:spPr>
                    <a:xfrm>
                      <a:off x="0" y="0"/>
                      <a:ext cx="4572000" cy="3909391"/>
                    </a:xfrm>
                    <a:prstGeom prst="rect">
                      <a:avLst/>
                    </a:prstGeom>
                  </pic:spPr>
                </pic:pic>
              </a:graphicData>
            </a:graphic>
          </wp:inline>
        </w:drawing>
      </w:r>
    </w:p>
    <w:p w14:paraId="510B3EBD" w14:textId="77777777" w:rsidR="006A2C5A" w:rsidRDefault="00000000">
      <w:pPr>
        <w:spacing w:after="0" w:line="480" w:lineRule="auto"/>
      </w:pPr>
      <w: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i/>
        </w:rPr>
        <w:t>p</w:t>
      </w:r>
      <w:r>
        <w:t xml:space="preserve"> = .304. See Table 4 for full publication-bias assessment.</w:t>
      </w:r>
    </w:p>
    <w:p w14:paraId="3772BC5A" w14:textId="77777777" w:rsidR="006A2C5A" w:rsidRDefault="00000000">
      <w:r>
        <w:br w:type="page"/>
      </w:r>
    </w:p>
    <w:p w14:paraId="47B0A934" w14:textId="77777777" w:rsidR="006A2C5A" w:rsidRDefault="00000000">
      <w:pPr>
        <w:spacing w:after="0" w:line="480" w:lineRule="auto"/>
      </w:pPr>
      <w:r>
        <w:rPr>
          <w:b/>
        </w:rPr>
        <w:t>Figure 11</w:t>
      </w:r>
    </w:p>
    <w:p w14:paraId="5F5807EE" w14:textId="77777777" w:rsidR="006A2C5A" w:rsidRDefault="00000000">
      <w:pPr>
        <w:spacing w:after="0" w:line="480" w:lineRule="auto"/>
      </w:pPr>
      <w:r>
        <w:rPr>
          <w:i/>
        </w:rPr>
        <w:t>Funnel Plot: Extraversion and Academic Achievement in Online Learning Environments</w:t>
      </w:r>
    </w:p>
    <w:p w14:paraId="4F351FB5" w14:textId="77777777" w:rsidR="006A2C5A" w:rsidRDefault="00000000">
      <w:pPr>
        <w:jc w:val="center"/>
      </w:pPr>
      <w:r>
        <w:rPr>
          <w:noProof/>
        </w:rPr>
        <w:drawing>
          <wp:inline distT="0" distB="0" distL="0" distR="0" wp14:anchorId="7D473082" wp14:editId="2F1CE549">
            <wp:extent cx="4572000" cy="39093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_E.png"/>
                    <pic:cNvPicPr/>
                  </pic:nvPicPr>
                  <pic:blipFill>
                    <a:blip r:embed="rId18"/>
                    <a:stretch>
                      <a:fillRect/>
                    </a:stretch>
                  </pic:blipFill>
                  <pic:spPr>
                    <a:xfrm>
                      <a:off x="0" y="0"/>
                      <a:ext cx="4572000" cy="3909391"/>
                    </a:xfrm>
                    <a:prstGeom prst="rect">
                      <a:avLst/>
                    </a:prstGeom>
                  </pic:spPr>
                </pic:pic>
              </a:graphicData>
            </a:graphic>
          </wp:inline>
        </w:drawing>
      </w:r>
    </w:p>
    <w:p w14:paraId="440E5252" w14:textId="77777777" w:rsidR="006A2C5A" w:rsidRDefault="00000000">
      <w:pPr>
        <w:spacing w:after="0" w:line="480" w:lineRule="auto"/>
      </w:pPr>
      <w: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i/>
        </w:rPr>
        <w:t>p</w:t>
      </w:r>
      <w:r>
        <w:t xml:space="preserve"> = .255. See Table 4 for full publication-bias assessment.</w:t>
      </w:r>
    </w:p>
    <w:sectPr w:rsidR="006A2C5A" w:rsidSect="00034616">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11B6F" w14:textId="77777777" w:rsidR="00B0270A" w:rsidRDefault="00B0270A">
      <w:pPr>
        <w:spacing w:after="0" w:line="240" w:lineRule="auto"/>
      </w:pPr>
      <w:r>
        <w:separator/>
      </w:r>
    </w:p>
  </w:endnote>
  <w:endnote w:type="continuationSeparator" w:id="0">
    <w:p w14:paraId="550E859D" w14:textId="77777777" w:rsidR="00B0270A" w:rsidRDefault="00B02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1345A" w14:textId="77777777" w:rsidR="00B0270A" w:rsidRDefault="00B0270A">
      <w:pPr>
        <w:spacing w:after="0" w:line="240" w:lineRule="auto"/>
      </w:pPr>
      <w:r>
        <w:separator/>
      </w:r>
    </w:p>
  </w:footnote>
  <w:footnote w:type="continuationSeparator" w:id="0">
    <w:p w14:paraId="6A9CFCB3" w14:textId="77777777" w:rsidR="00B0270A" w:rsidRDefault="00B027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B4141" w14:textId="77777777" w:rsidR="006A2C5A" w:rsidRDefault="00000000">
    <w:pPr>
      <w:pStyle w:val="a5"/>
    </w:pPr>
    <w:r>
      <w:t>BIG FIVE AND ONLINE LEARNING</w:t>
    </w:r>
    <w:r>
      <w:tab/>
    </w:r>
    <w:r>
      <w:tab/>
    </w:r>
    <w:r>
      <w:fldChar w:fldCharType="begin"/>
    </w:r>
    <w:r>
      <w:instrText>PAGE</w:instrText>
    </w:r>
    <w:r w:rsidR="008D553A">
      <w:fldChar w:fldCharType="separate"/>
    </w:r>
    <w:r w:rsidR="008D553A">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66881799">
    <w:abstractNumId w:val="8"/>
  </w:num>
  <w:num w:numId="2" w16cid:durableId="2028940026">
    <w:abstractNumId w:val="6"/>
  </w:num>
  <w:num w:numId="3" w16cid:durableId="1178038950">
    <w:abstractNumId w:val="5"/>
  </w:num>
  <w:num w:numId="4" w16cid:durableId="1943801327">
    <w:abstractNumId w:val="4"/>
  </w:num>
  <w:num w:numId="5" w16cid:durableId="543297547">
    <w:abstractNumId w:val="7"/>
  </w:num>
  <w:num w:numId="6" w16cid:durableId="42338091">
    <w:abstractNumId w:val="3"/>
  </w:num>
  <w:num w:numId="7" w16cid:durableId="1036538435">
    <w:abstractNumId w:val="2"/>
  </w:num>
  <w:num w:numId="8" w16cid:durableId="540827574">
    <w:abstractNumId w:val="1"/>
  </w:num>
  <w:num w:numId="9" w16cid:durableId="481700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A2C5A"/>
    <w:rsid w:val="008D553A"/>
    <w:rsid w:val="00AA1D8D"/>
    <w:rsid w:val="00B0270A"/>
    <w:rsid w:val="00B47730"/>
    <w:rsid w:val="00CB0664"/>
    <w:rsid w:val="00CB0D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3FEEC16D"/>
  <w14:defaultImageDpi w14:val="300"/>
  <w15:docId w15:val="{9FEAE78E-BB9E-48DA-822A-306E4A890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4"/>
    </w:rPr>
  </w:style>
  <w:style w:type="paragraph" w:styleId="1">
    <w:name w:val="heading 1"/>
    <w:basedOn w:val="a1"/>
    <w:next w:val="a1"/>
    <w:link w:val="10"/>
    <w:uiPriority w:val="9"/>
    <w:qFormat/>
    <w:rsid w:val="00FC693F"/>
    <w:pPr>
      <w:keepNext/>
      <w:keepLines/>
      <w:spacing w:after="0"/>
      <w:jc w:val="center"/>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after="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18963</Words>
  <Characters>108090</Characters>
  <Application>Microsoft Office Word</Application>
  <DocSecurity>0</DocSecurity>
  <Lines>900</Lines>
  <Paragraphs>253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126800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Eisuke Tokiwa</cp:lastModifiedBy>
  <cp:revision>3</cp:revision>
  <dcterms:created xsi:type="dcterms:W3CDTF">2013-12-23T23:15:00Z</dcterms:created>
  <dcterms:modified xsi:type="dcterms:W3CDTF">2026-05-02T13:00:00Z</dcterms:modified>
  <cp:category/>
</cp:coreProperties>
</file>