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Table 1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Characteristics of the 31 Included Primary Studies and Their Contributions to the Quantitative Synthesis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Author (Year)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Country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Mode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Level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Era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Region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Instrument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Outcome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Inclusion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6"/>
              </w:rPr>
              <w:t>RoB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A-01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Abe (2020)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92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US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pre-COVID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North_America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course_grade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A-02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Alkis (2018)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189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Turkey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pre-COVID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Europe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course_grade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A-03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Ashouri (2025)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183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Iran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satisfaction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Exc-pri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A-04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Audet (2021)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350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Canada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North_America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engagement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Exc-pri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A-05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Audet (2023)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678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Canada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North_America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engagement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Exc-dup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A-06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Sahinidis (2021)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555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Greece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Europe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Custom 30-item Big Five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satisfaction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Exc-pri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A-07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Cohen (2017)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72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Israel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Grad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pre-COVID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 Hebrew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satisfaction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Exc-pri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A-08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Keller (2013)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250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US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UG/Grad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pre-COVID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North_America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IPIP-50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perception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Exc-pri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A-09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Bhattacharjee (2025)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384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India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FtF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post-COVID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GPA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Exc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A-10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Boonyapison (2025)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203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Thailand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FtF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K-12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post-COVID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GPA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Exc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A-11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Cheng (2023)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746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Taiwan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Sec/Post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BFI_C_only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procrastination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Exc-pri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A-12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Baruth (2023)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108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Israel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 Hebrew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satisfaction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Exc-pri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A-13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Dang (2025)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235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China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Online*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post-COVID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NEO-FFI_Chinese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engagement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Exc-pri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A-15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Elvers (2003)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47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US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pre-COVID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North_America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NEO-FFI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procrastination_exam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Inc*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A-16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Hidalgo-Fuentes (2024)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457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Honduras+Spain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FtF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post-COVID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Europe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BFI-2-S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procrastination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Exc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A-17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Kara (2024)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437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Turkey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post-COVID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Europe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engagement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include_secondary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A-18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Bhagat (2019)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208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Taiwan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UG/Grad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pre-COVID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Mini-IPIP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perception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Exc-pri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A-19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MacLean (2022)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465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Canada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North_America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HEXACO-PI-R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preference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Exc-pri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Mustafa (2022)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718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China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UG/Grad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Chinese Big Five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satisfaction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Exc-pri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A-21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Nakayama (2014)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53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Japan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pre-COVID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IPIP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test_score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Exc-pri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Quigley (2022)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301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UK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Europe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engagement_performance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Inc*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A-23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Rodrigues (2024)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260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Germany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Europe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BFI-S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GPA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7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Tlili (2023)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Tunisia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Other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navigational_behavior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Exc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Tokiwa (2025)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103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Japan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K-12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post-COVID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BFI-2-J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test_completion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 (COI)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A-26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Wang (2023)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1625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China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K-12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post-COVID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Chinese Big Five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achievement_self_report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Inc*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A-27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Wu_Yu (2024)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1004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China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e_learning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—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—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Big Five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engagement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—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—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A-28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Yu (2021)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1152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China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UG/Grad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Big Five Scale (McCrae)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MOOC_composite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7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A-29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Bahcekapili (2020)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525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Turkey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pre-COVID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Europe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BFI-44 Turkish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GPA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A-30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Kaspar (2023)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413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Germany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UG/Grad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Europe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BFI-S German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performance_self_rated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Inc*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5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A-31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Rivers (2021)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149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Japan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UG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COVID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Asia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TIPI-J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course_grade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6</w:t>
            </w:r>
          </w:p>
        </w:tc>
      </w:tr>
      <w:tr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A-37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Zheng (2023)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282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US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Online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Grad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Mixed_3era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North_America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TIPI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course_grade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Inc*</w:t>
            </w:r>
          </w:p>
        </w:tc>
        <w:tc>
          <w:tcPr>
            <w:tcW w:type="dxa" w:w="78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sz w:val="16"/>
              </w:rPr>
              <w:t>4</w:t>
            </w:r>
          </w:p>
        </w:tc>
      </w:tr>
    </w:tbl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ID = study identifier in the deep-reading-notes ledger (A-XX sequence). </w:t>
      </w:r>
      <w:r>
        <w:rPr>
          <w:rFonts w:ascii="Times New Roman" w:hAnsi="Times New Roman" w:eastAsia="Times New Roman"/>
          <w:i/>
          <w:sz w:val="24"/>
        </w:rPr>
        <w:t>N</w:t>
      </w:r>
      <w:r>
        <w:rPr>
          <w:rFonts w:ascii="Times New Roman" w:hAnsi="Times New Roman" w:eastAsia="Times New Roman"/>
          <w:sz w:val="24"/>
        </w:rPr>
        <w:t xml:space="preserve"> = analytic sample size. Mode (modality): Online = fully online; FtF = face-to-face (excluded at modality screening); Mixed = blended or mode-comparing design; Online* = mode not explicitly specified in the source. Level (education level): UG = undergraduate; Grad = graduate; UG/Grad = mixed undergraduate-graduate; K-12 = elementary through high school; Sec/Post = mixed secondary-postsecondary. Era: pre-COVID ≤ 2019; COVID = 2020–2022; post-COVID ≥ 2023. Region: classified per country of data collection. Instrument: abbreviated personality inventory label. Outcome: abbreviated outcome construct. Inclusion: Inc = included in primary achievement pool; Inc (COI) = included with conflict-of-interest flag; Inc* = included with caveat; Exc-pri = excluded from primary but retained for secondary pool or narrative; Exc-dup = excluded due to sample overlap with another included study; Exc = excluded at eligibility. RoB = aggregate score on the Joanna Briggs Institute 8-item critical appraisal checklist (0–8; higher = lower risk). A-14 Eilam (2009) and A-27 Wu &amp; Yu (2024) are omitted because the former was excluded at the modality screening stage and the latter was not available as a retrievable PDF; both are disclosed in the PRISMA flow. Author-correction notes for studies whose original bibliographic metadata differed from the verified author, year, or country (A-06, A-07, A-08, A-12, A-13, A-16, A-18, A-20) are provided in the OSF project (Supplementary Material).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Table 2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Random-Effects Pooled Correlations Between Big Five Personality Traits and Academic Achievement in Online Learning 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Trait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k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N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r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95% CI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95% PI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I²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τ²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Q(</w:t>
            </w:r>
            <w:r>
              <w:rPr>
                <w:rFonts w:ascii="Times New Roman" w:hAnsi="Times New Roman" w:eastAsia="Times New Roman"/>
                <w:i/>
                <w:sz w:val="24"/>
              </w:rPr>
              <w:t>df</w:t>
            </w:r>
            <w:r>
              <w:rPr>
                <w:rFonts w:ascii="Times New Roman" w:hAnsi="Times New Roman" w:eastAsia="Times New Roman"/>
                <w:sz w:val="24"/>
              </w:rPr>
              <w:t xml:space="preserve">),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</w:p>
        </w:tc>
      </w:tr>
      <w:tr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Conscientiousness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3,384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.167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[.089, .243]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[−.020, .343]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65.1%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.006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25.79(9), .002</w:t>
            </w:r>
          </w:p>
        </w:tc>
      </w:tr>
      <w:tr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Agreeableness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3,363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.112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[−.031, .250]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[−.310, .496]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96.2%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.030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208.49(8), &lt;.001</w:t>
            </w:r>
          </w:p>
        </w:tc>
      </w:tr>
      <w:tr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Openness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3,363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.086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[−.044, .214]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[−.273, .425]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92.0%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.021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100.17(8), &lt;.001</w:t>
            </w:r>
          </w:p>
        </w:tc>
      </w:tr>
      <w:tr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Neuroticism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3,384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.018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[−.079, .114]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[−.229, .263]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79.0%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.010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42.76(9), &lt;.001</w:t>
            </w:r>
          </w:p>
        </w:tc>
      </w:tr>
      <w:tr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Extraversion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3,363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.002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[−.076, .080]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[−.195, .200]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75.5%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.006</w:t>
            </w:r>
          </w:p>
        </w:tc>
        <w:tc>
          <w:tcPr>
            <w:tcW w:type="dxa" w:w="104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32.66(8), &lt;.001</w:t>
            </w:r>
          </w:p>
        </w:tc>
      </w:tr>
    </w:tbl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</w:t>
      </w:r>
      <w:r>
        <w:rPr>
          <w:rFonts w:ascii="Times New Roman" w:hAnsi="Times New Roman" w:eastAsia="Times New Roman"/>
          <w:i/>
          <w:sz w:val="24"/>
        </w:rPr>
        <w:t>k</w:t>
      </w:r>
      <w:r>
        <w:rPr>
          <w:rFonts w:ascii="Times New Roman" w:hAnsi="Times New Roman" w:eastAsia="Times New Roman"/>
          <w:sz w:val="24"/>
        </w:rPr>
        <w:t xml:space="preserve"> = number of independent samples contributing a direct Pearson </w:t>
      </w:r>
      <w:r>
        <w:rPr>
          <w:rFonts w:ascii="Times New Roman" w:hAnsi="Times New Roman" w:eastAsia="Times New Roman"/>
          <w:i/>
          <w:sz w:val="24"/>
        </w:rPr>
        <w:t>r</w:t>
      </w:r>
      <w:r>
        <w:rPr>
          <w:rFonts w:ascii="Times New Roman" w:hAnsi="Times New Roman" w:eastAsia="Times New Roman"/>
          <w:sz w:val="24"/>
        </w:rPr>
        <w:t xml:space="preserve"> or Peterson-Brown-converted </w:t>
      </w:r>
      <w:r>
        <w:rPr>
          <w:rFonts w:ascii="Times New Roman" w:hAnsi="Times New Roman" w:eastAsia="Times New Roman"/>
          <w:i/>
          <w:sz w:val="24"/>
        </w:rPr>
        <w:t>β</w:t>
      </w:r>
      <w:r>
        <w:rPr>
          <w:rFonts w:ascii="Times New Roman" w:hAnsi="Times New Roman" w:eastAsia="Times New Roman"/>
          <w:sz w:val="24"/>
        </w:rPr>
        <w:t xml:space="preserve"> to the trait pool. </w:t>
      </w:r>
      <w:r>
        <w:rPr>
          <w:rFonts w:ascii="Times New Roman" w:hAnsi="Times New Roman" w:eastAsia="Times New Roman"/>
          <w:i/>
          <w:sz w:val="24"/>
        </w:rPr>
        <w:t>N</w:t>
      </w:r>
      <w:r>
        <w:rPr>
          <w:rFonts w:ascii="Times New Roman" w:hAnsi="Times New Roman" w:eastAsia="Times New Roman"/>
          <w:sz w:val="24"/>
        </w:rPr>
        <w:t xml:space="preserve"> = total pooled sample size. </w:t>
      </w:r>
      <w:r>
        <w:rPr>
          <w:rFonts w:ascii="Times New Roman" w:hAnsi="Times New Roman" w:eastAsia="Times New Roman"/>
          <w:i/>
          <w:sz w:val="24"/>
        </w:rPr>
        <w:t>r</w:t>
      </w:r>
      <w:r>
        <w:rPr>
          <w:rFonts w:ascii="Times New Roman" w:hAnsi="Times New Roman" w:eastAsia="Times New Roman"/>
          <w:sz w:val="24"/>
        </w:rPr>
        <w:t xml:space="preserve"> = random-effects REML pooled correlation on the Fisher </w:t>
      </w:r>
      <w:r>
        <w:rPr>
          <w:rFonts w:ascii="Times New Roman" w:hAnsi="Times New Roman" w:eastAsia="Times New Roman"/>
          <w:i/>
          <w:sz w:val="24"/>
        </w:rPr>
        <w:t>z</w:t>
      </w:r>
      <w:r>
        <w:rPr>
          <w:rFonts w:ascii="Times New Roman" w:hAnsi="Times New Roman" w:eastAsia="Times New Roman"/>
          <w:sz w:val="24"/>
        </w:rPr>
        <w:t xml:space="preserve"> scale, back-transformed to </w:t>
      </w:r>
      <w:r>
        <w:rPr>
          <w:rFonts w:ascii="Times New Roman" w:hAnsi="Times New Roman" w:eastAsia="Times New Roman"/>
          <w:i/>
          <w:sz w:val="24"/>
        </w:rPr>
        <w:t>r</w:t>
      </w:r>
      <w:r>
        <w:rPr>
          <w:rFonts w:ascii="Times New Roman" w:hAnsi="Times New Roman" w:eastAsia="Times New Roman"/>
          <w:sz w:val="24"/>
        </w:rPr>
        <w:t xml:space="preserve"> for display. 95% CI = Hartung-Knapp-Sidik-Jonkman–adjusted confidence interval. 95% PI = prediction interval for true effects in a new study. </w:t>
      </w:r>
      <w:r>
        <w:rPr>
          <w:rFonts w:ascii="Times New Roman" w:hAnsi="Times New Roman" w:eastAsia="Times New Roman"/>
          <w:i/>
          <w:sz w:val="24"/>
        </w:rPr>
        <w:t>I²</w:t>
      </w:r>
      <w:r>
        <w:rPr>
          <w:rFonts w:ascii="Times New Roman" w:hAnsi="Times New Roman" w:eastAsia="Times New Roman"/>
          <w:sz w:val="24"/>
        </w:rPr>
        <w:t xml:space="preserve"> = Higgins &amp; Thompson's heterogeneity index. </w:t>
      </w:r>
      <w:r>
        <w:rPr>
          <w:rFonts w:ascii="Times New Roman" w:hAnsi="Times New Roman" w:eastAsia="Times New Roman"/>
          <w:i/>
          <w:sz w:val="24"/>
        </w:rPr>
        <w:t>τ²</w:t>
      </w:r>
      <w:r>
        <w:rPr>
          <w:rFonts w:ascii="Times New Roman" w:hAnsi="Times New Roman" w:eastAsia="Times New Roman"/>
          <w:sz w:val="24"/>
        </w:rPr>
        <w:t xml:space="preserve"> = REML between-study variance. </w:t>
      </w:r>
      <w:r>
        <w:rPr>
          <w:rFonts w:ascii="Times New Roman" w:hAnsi="Times New Roman" w:eastAsia="Times New Roman"/>
          <w:i/>
          <w:sz w:val="24"/>
        </w:rPr>
        <w:t>Q</w:t>
      </w:r>
      <w:r>
        <w:rPr>
          <w:rFonts w:ascii="Times New Roman" w:hAnsi="Times New Roman" w:eastAsia="Times New Roman"/>
          <w:sz w:val="24"/>
        </w:rPr>
        <w:t xml:space="preserve"> = Cochran's heterogeneity statistic; </w:t>
      </w:r>
      <w:r>
        <w:rPr>
          <w:rFonts w:ascii="Times New Roman" w:hAnsi="Times New Roman" w:eastAsia="Times New Roman"/>
          <w:i/>
          <w:sz w:val="24"/>
        </w:rPr>
        <w:t>df</w:t>
      </w:r>
      <w:r>
        <w:rPr>
          <w:rFonts w:ascii="Times New Roman" w:hAnsi="Times New Roman" w:eastAsia="Times New Roman"/>
          <w:sz w:val="24"/>
        </w:rPr>
        <w:t xml:space="preserve"> = degrees of freedom; </w:t>
      </w:r>
      <w:r>
        <w:rPr>
          <w:rFonts w:ascii="Times New Roman" w:hAnsi="Times New Roman" w:eastAsia="Times New Roman"/>
          <w:i/>
          <w:sz w:val="24"/>
        </w:rPr>
        <w:t>p</w:t>
      </w:r>
      <w:r>
        <w:rPr>
          <w:rFonts w:ascii="Times New Roman" w:hAnsi="Times New Roman" w:eastAsia="Times New Roman"/>
          <w:sz w:val="24"/>
        </w:rPr>
        <w:t xml:space="preserve"> = associated p-value. Traits are sorted by pooled </w:t>
      </w:r>
      <w:r>
        <w:rPr>
          <w:rFonts w:ascii="Times New Roman" w:hAnsi="Times New Roman" w:eastAsia="Times New Roman"/>
          <w:i/>
          <w:sz w:val="24"/>
        </w:rPr>
        <w:t>r</w:t>
      </w:r>
      <w:r>
        <w:rPr>
          <w:rFonts w:ascii="Times New Roman" w:hAnsi="Times New Roman" w:eastAsia="Times New Roman"/>
          <w:sz w:val="24"/>
        </w:rPr>
        <w:t xml:space="preserve"> (descending).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Table 3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Subgroup Moderator Analyses: Region, Era, and Outcome Type per Big Five Trait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Moderator / Trait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Level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k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r [95% CI]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Q_between(</w:t>
            </w:r>
            <w:r>
              <w:rPr>
                <w:rFonts w:ascii="Times New Roman" w:hAnsi="Times New Roman" w:eastAsia="Times New Roman"/>
                <w:i/>
                <w:sz w:val="24"/>
              </w:rPr>
              <w:t>df</w:t>
            </w:r>
            <w:r>
              <w:rPr>
                <w:rFonts w:ascii="Times New Roman" w:hAnsi="Times New Roman" w:eastAsia="Times New Roman"/>
                <w:sz w:val="24"/>
              </w:rPr>
              <w:t xml:space="preserve">),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Region: Conscientiousness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non-Asia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8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.185 [.082, .284]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2.68(1), .102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.111 [−.039, .257]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Region: Openness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non-Asia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.053 [−.060, .164]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0.26(1), .612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.164 [−.989, .994]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Region: Extraversion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non-Asia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.050 [−.004, .104]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46.43(1), &lt;.001 †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−.131 [−.314, .061]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Region: Agreeableness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non-Asia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.030 [−.047, .106]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2.17(1), .140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.330 [−.981, .995]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Region: Neuroticism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non-Asia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8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−.007 [−.130, .117]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3.31(1), .069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Asia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.089 [.008, .169]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Era: Conscientiousness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pre-COVID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4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.208 [−.041, .434]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0.13(1), .716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COVID-era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.179 [.095, .260]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Era: Openness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pre-COVID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.098 [−.423, .570]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0.00(1), .994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COVID-era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.097 [−.123, .308]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Era: Extraversion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pre-COVID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.033 [.002, .063]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0.59(1), .443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COVID-era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−.014 [−.180, .153]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Era: Agreeableness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pre-COVID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3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.033 [−.162, .225]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1.09(1), .296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COVID-era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.153 [−.141, .422]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Era: Neuroticism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pre-COVID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4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−.050 [−.173, .074]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2.04(1), .153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COVID-era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.060 [−.125, .240]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Outcome: Conscientiousness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objective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8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.147 [.076, .217]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2.40(1), .121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self-rated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.225 [.126, .319]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Outcome: Openness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objective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.092 [−.068, .246]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0.04(1), .839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self-rated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.072 [−.027, .170]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Outcome: Extraversion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objective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−.038 [−.134, .060]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17.30(1), &lt;.001 †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self-rated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.117 [.017, .214]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Outcome: Agreeableness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objective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.131 [−.088, .336]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0.49(1), .485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self-rated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.041 [−.056, .137]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Outcome: Neuroticism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objective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8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−.009 [−.154, .137]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0.82(1), .364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self-rated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.120 [−.142, .364]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</w:tr>
    </w:tbl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</w:t>
      </w:r>
      <w:r>
        <w:rPr>
          <w:rFonts w:ascii="Times New Roman" w:hAnsi="Times New Roman" w:eastAsia="Times New Roman"/>
          <w:i/>
          <w:sz w:val="24"/>
        </w:rPr>
        <w:t>k</w:t>
      </w:r>
      <w:r>
        <w:rPr>
          <w:rFonts w:ascii="Times New Roman" w:hAnsi="Times New Roman" w:eastAsia="Times New Roman"/>
          <w:sz w:val="24"/>
        </w:rPr>
        <w:t xml:space="preserve"> = number of studies contributing to each subgroup. </w:t>
      </w:r>
      <w:r>
        <w:rPr>
          <w:rFonts w:ascii="Times New Roman" w:hAnsi="Times New Roman" w:eastAsia="Times New Roman"/>
          <w:i/>
          <w:sz w:val="24"/>
        </w:rPr>
        <w:t>Q_between</w:t>
      </w:r>
      <w:r>
        <w:rPr>
          <w:rFonts w:ascii="Times New Roman" w:hAnsi="Times New Roman" w:eastAsia="Times New Roman"/>
          <w:sz w:val="24"/>
        </w:rPr>
        <w:t xml:space="preserve"> = between-subgroup heterogeneity statistic testing whether subgroups' pooled effects differ significantly. Dagger (†) indicates the two significant subgroup differences at </w:t>
      </w:r>
      <w:r>
        <w:rPr>
          <w:rFonts w:ascii="Times New Roman" w:hAnsi="Times New Roman" w:eastAsia="Times New Roman"/>
          <w:i/>
          <w:sz w:val="24"/>
        </w:rPr>
        <w:t>p</w:t>
      </w:r>
      <w:r>
        <w:rPr>
          <w:rFonts w:ascii="Times New Roman" w:hAnsi="Times New Roman" w:eastAsia="Times New Roman"/>
          <w:sz w:val="24"/>
        </w:rPr>
        <w:t xml:space="preserve"> &lt; .001 after Holm-Bonferroni correction within the Extraversion trait pool. Categorical levels: Asia = East or Middle Eastern samples; non-Asia = European, North American, or Other regions. Era: pre-COVID = data collected ≤2019; COVID-era = 2020–2022. Post-COVID studies (</w:t>
      </w:r>
      <w:r>
        <w:rPr>
          <w:rFonts w:ascii="Times New Roman" w:hAnsi="Times New Roman" w:eastAsia="Times New Roman"/>
          <w:i/>
          <w:sz w:val="24"/>
        </w:rPr>
        <w:t>k</w:t>
      </w:r>
      <w:r>
        <w:rPr>
          <w:rFonts w:ascii="Times New Roman" w:hAnsi="Times New Roman" w:eastAsia="Times New Roman"/>
          <w:sz w:val="24"/>
        </w:rPr>
        <w:t xml:space="preserve"> = 2) were insufficient for subgroup isolation. Outcome type: objective = GPA, course grade, standardized exam, or MOOC platform composite; self-rated = student self-reported performance.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Table 4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Pre-Specified Sensitivity Analyses of the Primary Pooled Effect Sizes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Trait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Analysis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k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r [95% CI]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Δr vs primary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Conscientiousness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Primary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.167 [.089, .243]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Tokiwa (COI)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.167 [.089, .243]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±.000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β-converted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.203 [.095, .307]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+.036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RoB &lt; 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.182 [.099, .262]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+.015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Egger regression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 xml:space="preserve">intercept = 2.14,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 xml:space="preserve"> = .094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Trim-and-fill adjusted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.167 [.089, .243]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±.000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Openness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Primary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.086 [−.044, .214]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Tokiwa (COI)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.086 [−.044, .214]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±.000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β-converted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6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.031 [−.127, .184]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−.055 ‡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RoB &lt; 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8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.097 [−.040, .228]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+.011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Egger regression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 xml:space="preserve">intercept = −6.41,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 xml:space="preserve"> = .045 †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Trim-and-fill adjusted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.107 [−.017, .228]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+.021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Extraversion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Primary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.002 [−.076, .080]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Tokiwa (COI)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.002 [−.076, .080]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±.000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β-converted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6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.018 [−.081, .117]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+.016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RoB &lt; 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8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.003 [−.080, .086]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+.001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Egger regression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 xml:space="preserve">intercept = 2.29,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 xml:space="preserve"> = .255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Trim-and-fill adjusted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11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−.036 [−.117, .046]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−.038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Agreeableness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Primary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.112 [−.031, .250]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Tokiwa (COI)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.112 [−.031, .250]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±.000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β-converted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6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.067 [−.089, .219]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−.045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RoB &lt; 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8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.126 [−.028, .273]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+.014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Egger regression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 xml:space="preserve">intercept = −8.53,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 xml:space="preserve"> = .072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Trim-and-fill adjusted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.112 [−.031, .250]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±.000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Neuroticism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Primary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.018 [−.079, .114]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Tokiwa (COI)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.018 [−.079, .114]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±.000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β-converted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−.043 [−.165, .082]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−.061 ‡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Exclude RoB &lt; 5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9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.019 [−.084, .121]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+.001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Egger regression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 xml:space="preserve">intercept = −1.79,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 xml:space="preserve"> = .304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—</w:t>
            </w:r>
          </w:p>
        </w:tc>
      </w:tr>
      <w:tr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Trim-and-fill adjusted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10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.018 [−.079, .114]</w:t>
            </w:r>
          </w:p>
        </w:tc>
        <w:tc>
          <w:tcPr>
            <w:tcW w:type="dxa" w:w="1872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±.000</w:t>
            </w:r>
          </w:p>
        </w:tc>
      </w:tr>
    </w:tbl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Δr = change in pooled correlation from the primary analysis. A double dagger (‡) denotes a sensitivity-analysis-induced shift exceeding |Δr| = .05, which is considered potentially influential per the pre-registered threshold. A single dagger (†) denotes a significant Egger test at </w:t>
      </w:r>
      <w:r>
        <w:rPr>
          <w:rFonts w:ascii="Times New Roman" w:hAnsi="Times New Roman" w:eastAsia="Times New Roman"/>
          <w:i/>
          <w:sz w:val="24"/>
        </w:rPr>
        <w:t>p</w:t>
      </w:r>
      <w:r>
        <w:rPr>
          <w:rFonts w:ascii="Times New Roman" w:hAnsi="Times New Roman" w:eastAsia="Times New Roman"/>
          <w:sz w:val="24"/>
        </w:rPr>
        <w:t xml:space="preserve"> &lt; .05. "Exclude Tokiwa (COI)" removes the present author's prior primary study (Tokiwa, 2025); the zero delta reflects that this study did not contribute a direct </w:t>
      </w:r>
      <w:r>
        <w:rPr>
          <w:rFonts w:ascii="Times New Roman" w:hAnsi="Times New Roman" w:eastAsia="Times New Roman"/>
          <w:i/>
          <w:sz w:val="24"/>
        </w:rPr>
        <w:t>r</w:t>
      </w:r>
      <w:r>
        <w:rPr>
          <w:rFonts w:ascii="Times New Roman" w:hAnsi="Times New Roman" w:eastAsia="Times New Roman"/>
          <w:sz w:val="24"/>
        </w:rPr>
        <w:t xml:space="preserve"> to the primary pool. "Exclude β-converted" restricts the pool to studies reporting direct Pearson </w:t>
      </w:r>
      <w:r>
        <w:rPr>
          <w:rFonts w:ascii="Times New Roman" w:hAnsi="Times New Roman" w:eastAsia="Times New Roman"/>
          <w:i/>
          <w:sz w:val="24"/>
        </w:rPr>
        <w:t>r</w:t>
      </w:r>
      <w:r>
        <w:rPr>
          <w:rFonts w:ascii="Times New Roman" w:hAnsi="Times New Roman" w:eastAsia="Times New Roman"/>
          <w:sz w:val="24"/>
        </w:rPr>
        <w:t xml:space="preserve"> or Spearman </w:t>
      </w:r>
      <w:r>
        <w:rPr>
          <w:rFonts w:ascii="Times New Roman" w:hAnsi="Times New Roman" w:eastAsia="Times New Roman"/>
          <w:i/>
          <w:sz w:val="24"/>
        </w:rPr>
        <w:t>ρ</w:t>
      </w:r>
      <w:r>
        <w:rPr>
          <w:rFonts w:ascii="Times New Roman" w:hAnsi="Times New Roman" w:eastAsia="Times New Roman"/>
          <w:sz w:val="24"/>
        </w:rPr>
        <w:t>. "Exclude RoB &lt; 5" removes studies scoring below the pre-specified low-bias threshold of 5 on the JBI 8-item checklist.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Table 5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GRADE Summary of Findings: Confidence in the Pooled Associations Between Big Five Personality Traits and Academic Achievement in Online Learning 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Trait (</w:t>
            </w:r>
            <w:r>
              <w:rPr>
                <w:rFonts w:ascii="Times New Roman" w:hAnsi="Times New Roman" w:eastAsia="Times New Roman"/>
                <w:i/>
                <w:sz w:val="24"/>
              </w:rPr>
              <w:t>k</w:t>
            </w:r>
            <w:r>
              <w:rPr>
                <w:rFonts w:ascii="Times New Roman" w:hAnsi="Times New Roman" w:eastAsia="Times New Roman"/>
                <w:sz w:val="24"/>
              </w:rPr>
              <w:t xml:space="preserve">, </w:t>
            </w:r>
            <w:r>
              <w:rPr>
                <w:rFonts w:ascii="Times New Roman" w:hAnsi="Times New Roman" w:eastAsia="Times New Roman"/>
                <w:i/>
                <w:sz w:val="24"/>
              </w:rPr>
              <w:t>N</w:t>
            </w:r>
            <w:r>
              <w:rPr>
                <w:rFonts w:ascii="Times New Roman" w:hAnsi="Times New Roman" w:eastAsia="Times New Roman"/>
                <w:sz w:val="24"/>
              </w:rPr>
              <w:t>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Risk of Bias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Inconsistency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Indirectness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Imprecision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Publication Bias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Magnitude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b/>
                <w:sz w:val="20"/>
              </w:rPr>
              <w:t>GRADE</w:t>
            </w:r>
          </w:p>
        </w:tc>
      </w:tr>
      <w:tr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Conscientiousness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k</w:t>
            </w:r>
            <w:r>
              <w:rPr>
                <w:rFonts w:ascii="Times New Roman" w:hAnsi="Times New Roman" w:eastAsia="Times New Roman"/>
                <w:sz w:val="24"/>
              </w:rPr>
              <w:t xml:space="preserve">=10, </w:t>
            </w:r>
            <w:r>
              <w:rPr>
                <w:rFonts w:ascii="Times New Roman" w:hAnsi="Times New Roman" w:eastAsia="Times New Roman"/>
                <w:i/>
                <w:sz w:val="24"/>
              </w:rPr>
              <w:t>N</w:t>
            </w:r>
            <w:r>
              <w:rPr>
                <w:rFonts w:ascii="Times New Roman" w:hAnsi="Times New Roman" w:eastAsia="Times New Roman"/>
                <w:sz w:val="24"/>
              </w:rPr>
              <w:t>=3,384)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  <w:br/>
              <w:t>(mean JBI=5.9)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Serious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I²</w:t>
            </w:r>
            <w:r>
              <w:rPr>
                <w:rFonts w:ascii="Times New Roman" w:hAnsi="Times New Roman" w:eastAsia="Times New Roman"/>
                <w:sz w:val="24"/>
              </w:rPr>
              <w:t>=65.1%)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  <w:br/>
              <w:t>(CI width=.15)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Not serious</w:t>
              <w:br/>
              <w:t xml:space="preserve">(Egger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>=.094)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Small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r</w:t>
            </w:r>
            <w:r>
              <w:rPr>
                <w:rFonts w:ascii="Times New Roman" w:hAnsi="Times New Roman" w:eastAsia="Times New Roman"/>
                <w:sz w:val="24"/>
              </w:rPr>
              <w:t>=.167)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Moderate</w:t>
            </w:r>
          </w:p>
        </w:tc>
      </w:tr>
      <w:tr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Openness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k</w:t>
            </w:r>
            <w:r>
              <w:rPr>
                <w:rFonts w:ascii="Times New Roman" w:hAnsi="Times New Roman" w:eastAsia="Times New Roman"/>
                <w:sz w:val="24"/>
              </w:rPr>
              <w:t xml:space="preserve">=9, </w:t>
            </w:r>
            <w:r>
              <w:rPr>
                <w:rFonts w:ascii="Times New Roman" w:hAnsi="Times New Roman" w:eastAsia="Times New Roman"/>
                <w:i/>
                <w:sz w:val="24"/>
              </w:rPr>
              <w:t>N</w:t>
            </w:r>
            <w:r>
              <w:rPr>
                <w:rFonts w:ascii="Times New Roman" w:hAnsi="Times New Roman" w:eastAsia="Times New Roman"/>
                <w:sz w:val="24"/>
              </w:rPr>
              <w:t>=3,363)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  <w:br/>
              <w:t>(mean JBI=5.7)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Very serious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I²</w:t>
            </w:r>
            <w:r>
              <w:rPr>
                <w:rFonts w:ascii="Times New Roman" w:hAnsi="Times New Roman" w:eastAsia="Times New Roman"/>
                <w:sz w:val="24"/>
              </w:rPr>
              <w:t>=92.0%)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Serious</w:t>
              <w:br/>
              <w:t>(CI crosses 0)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Serious</w:t>
              <w:br/>
              <w:t xml:space="preserve">(Egger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>=.045) †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Small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r</w:t>
            </w:r>
            <w:r>
              <w:rPr>
                <w:rFonts w:ascii="Times New Roman" w:hAnsi="Times New Roman" w:eastAsia="Times New Roman"/>
                <w:sz w:val="24"/>
              </w:rPr>
              <w:t>=.086)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Low</w:t>
            </w:r>
          </w:p>
        </w:tc>
      </w:tr>
      <w:tr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Extraversion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k</w:t>
            </w:r>
            <w:r>
              <w:rPr>
                <w:rFonts w:ascii="Times New Roman" w:hAnsi="Times New Roman" w:eastAsia="Times New Roman"/>
                <w:sz w:val="24"/>
              </w:rPr>
              <w:t xml:space="preserve">=9, </w:t>
            </w:r>
            <w:r>
              <w:rPr>
                <w:rFonts w:ascii="Times New Roman" w:hAnsi="Times New Roman" w:eastAsia="Times New Roman"/>
                <w:i/>
                <w:sz w:val="24"/>
              </w:rPr>
              <w:t>N</w:t>
            </w:r>
            <w:r>
              <w:rPr>
                <w:rFonts w:ascii="Times New Roman" w:hAnsi="Times New Roman" w:eastAsia="Times New Roman"/>
                <w:sz w:val="24"/>
              </w:rPr>
              <w:t>=3,363)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  <w:br/>
              <w:t>(mean JBI=5.8)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Serious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I²</w:t>
            </w:r>
            <w:r>
              <w:rPr>
                <w:rFonts w:ascii="Times New Roman" w:hAnsi="Times New Roman" w:eastAsia="Times New Roman"/>
                <w:sz w:val="24"/>
              </w:rPr>
              <w:t>=75.5%)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  <w:br/>
              <w:t>(null robust)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Not serious</w:t>
              <w:br/>
              <w:t xml:space="preserve">(Egger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>=.255)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Null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r</w:t>
            </w:r>
            <w:r>
              <w:rPr>
                <w:rFonts w:ascii="Times New Roman" w:hAnsi="Times New Roman" w:eastAsia="Times New Roman"/>
                <w:sz w:val="24"/>
              </w:rPr>
              <w:t>=.002)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Moderate</w:t>
            </w:r>
          </w:p>
        </w:tc>
      </w:tr>
      <w:tr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Agreeableness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k</w:t>
            </w:r>
            <w:r>
              <w:rPr>
                <w:rFonts w:ascii="Times New Roman" w:hAnsi="Times New Roman" w:eastAsia="Times New Roman"/>
                <w:sz w:val="24"/>
              </w:rPr>
              <w:t xml:space="preserve">=9, </w:t>
            </w:r>
            <w:r>
              <w:rPr>
                <w:rFonts w:ascii="Times New Roman" w:hAnsi="Times New Roman" w:eastAsia="Times New Roman"/>
                <w:i/>
                <w:sz w:val="24"/>
              </w:rPr>
              <w:t>N</w:t>
            </w:r>
            <w:r>
              <w:rPr>
                <w:rFonts w:ascii="Times New Roman" w:hAnsi="Times New Roman" w:eastAsia="Times New Roman"/>
                <w:sz w:val="24"/>
              </w:rPr>
              <w:t>=3,363)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  <w:br/>
              <w:t>(mean JBI=5.7)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Very serious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I²</w:t>
            </w:r>
            <w:r>
              <w:rPr>
                <w:rFonts w:ascii="Times New Roman" w:hAnsi="Times New Roman" w:eastAsia="Times New Roman"/>
                <w:sz w:val="24"/>
              </w:rPr>
              <w:t>=96.2%)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Serious</w:t>
              <w:br/>
              <w:t>(CI crosses 0)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Serious</w:t>
              <w:br/>
              <w:t xml:space="preserve">(Egger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>=.072) †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Small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r</w:t>
            </w:r>
            <w:r>
              <w:rPr>
                <w:rFonts w:ascii="Times New Roman" w:hAnsi="Times New Roman" w:eastAsia="Times New Roman"/>
                <w:sz w:val="24"/>
              </w:rPr>
              <w:t>=.112)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Low</w:t>
            </w:r>
          </w:p>
        </w:tc>
      </w:tr>
      <w:tr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Neuroticism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k</w:t>
            </w:r>
            <w:r>
              <w:rPr>
                <w:rFonts w:ascii="Times New Roman" w:hAnsi="Times New Roman" w:eastAsia="Times New Roman"/>
                <w:sz w:val="24"/>
              </w:rPr>
              <w:t xml:space="preserve">=10, </w:t>
            </w:r>
            <w:r>
              <w:rPr>
                <w:rFonts w:ascii="Times New Roman" w:hAnsi="Times New Roman" w:eastAsia="Times New Roman"/>
                <w:i/>
                <w:sz w:val="24"/>
              </w:rPr>
              <w:t>N</w:t>
            </w:r>
            <w:r>
              <w:rPr>
                <w:rFonts w:ascii="Times New Roman" w:hAnsi="Times New Roman" w:eastAsia="Times New Roman"/>
                <w:sz w:val="24"/>
              </w:rPr>
              <w:t>=3,384)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  <w:br/>
              <w:t>(mean JBI=5.9)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Serious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I²</w:t>
            </w:r>
            <w:r>
              <w:rPr>
                <w:rFonts w:ascii="Times New Roman" w:hAnsi="Times New Roman" w:eastAsia="Times New Roman"/>
                <w:sz w:val="24"/>
              </w:rPr>
              <w:t>=79.0%)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Not serious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Serious</w:t>
              <w:br/>
              <w:t>(null, wide CI)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Not serious</w:t>
              <w:br/>
              <w:t xml:space="preserve">(Egger </w:t>
            </w: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24"/>
              </w:rPr>
              <w:t>=.304)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4"/>
              </w:rPr>
              <w:t>Null</w:t>
              <w:br/>
              <w:t>(</w:t>
            </w:r>
            <w:r>
              <w:rPr>
                <w:rFonts w:ascii="Times New Roman" w:hAnsi="Times New Roman" w:eastAsia="Times New Roman"/>
                <w:i/>
                <w:sz w:val="24"/>
              </w:rPr>
              <w:t>r</w:t>
            </w:r>
            <w:r>
              <w:rPr>
                <w:rFonts w:ascii="Times New Roman" w:hAnsi="Times New Roman" w:eastAsia="Times New Roman"/>
                <w:sz w:val="24"/>
              </w:rPr>
              <w:t>=.018)</w:t>
            </w:r>
          </w:p>
        </w:tc>
        <w:tc>
          <w:tcPr>
            <w:tcW w:type="dxa" w:w="1170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Times New Roman"/>
                <w:sz w:val="20"/>
              </w:rPr>
              <w:t>Low</w:t>
            </w:r>
          </w:p>
        </w:tc>
      </w:tr>
    </w:tbl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Note. GRADE = Grading of Recommendations, Assessment, Development and Evaluations, adapted for observational correlational syntheses (Schünemann et al., 2019). Five standard domains are evaluated per trait: Risk of Bias (mean JBI aggregate score across studies in the pool; serious if mean &lt; 5), Inconsistency (</w:t>
      </w:r>
      <w:r>
        <w:rPr>
          <w:rFonts w:ascii="Times New Roman" w:hAnsi="Times New Roman" w:eastAsia="Times New Roman"/>
          <w:i/>
          <w:sz w:val="24"/>
        </w:rPr>
        <w:t>I²</w:t>
      </w:r>
      <w:r>
        <w:rPr>
          <w:rFonts w:ascii="Times New Roman" w:hAnsi="Times New Roman" w:eastAsia="Times New Roman"/>
          <w:sz w:val="24"/>
        </w:rPr>
        <w:t xml:space="preserve"> and prediction interval; serious if </w:t>
      </w:r>
      <w:r>
        <w:rPr>
          <w:rFonts w:ascii="Times New Roman" w:hAnsi="Times New Roman" w:eastAsia="Times New Roman"/>
          <w:i/>
          <w:sz w:val="24"/>
        </w:rPr>
        <w:t>I²</w:t>
      </w:r>
      <w:r>
        <w:rPr>
          <w:rFonts w:ascii="Times New Roman" w:hAnsi="Times New Roman" w:eastAsia="Times New Roman"/>
          <w:sz w:val="24"/>
        </w:rPr>
        <w:t xml:space="preserve"> &gt; 50%, very serious if </w:t>
      </w:r>
      <w:r>
        <w:rPr>
          <w:rFonts w:ascii="Times New Roman" w:hAnsi="Times New Roman" w:eastAsia="Times New Roman"/>
          <w:i/>
          <w:sz w:val="24"/>
        </w:rPr>
        <w:t>I²</w:t>
      </w:r>
      <w:r>
        <w:rPr>
          <w:rFonts w:ascii="Times New Roman" w:hAnsi="Times New Roman" w:eastAsia="Times New Roman"/>
          <w:sz w:val="24"/>
        </w:rPr>
        <w:t xml:space="preserve"> &gt; 75%), Indirectness (population, exposure, or outcome indirectness relative to the review question), Imprecision (serious if 95% CI crosses the null or is wider than 2 × MOI of |r| = .10), and Publication Bias (serious if Egger's test is significant at </w:t>
      </w:r>
      <w:r>
        <w:rPr>
          <w:rFonts w:ascii="Times New Roman" w:hAnsi="Times New Roman" w:eastAsia="Times New Roman"/>
          <w:i/>
          <w:sz w:val="24"/>
        </w:rPr>
        <w:t>p</w:t>
      </w:r>
      <w:r>
        <w:rPr>
          <w:rFonts w:ascii="Times New Roman" w:hAnsi="Times New Roman" w:eastAsia="Times New Roman"/>
          <w:sz w:val="24"/>
        </w:rPr>
        <w:t xml:space="preserve"> &lt; .05 with asymmetric funnel plot). Magnitude (|r|) is provided for descriptive context but was not grounds for upgrade under the large-magnitude criterion of |r| ≥ .30. Dagger (†) denotes Egger's test intercept suggestive of small-study or publication bias. GRADE ratings: High = further research is very unlikely to change confidence; Moderate = further research is likely to have an important impact; Low = further research is very likely to have an important impact; Very Low = any estimate of effect is very uncertain. All estimates in the present synthesis fall within the Moderate-to-Low confidence range, reflecting the modest </w:t>
      </w:r>
      <w:r>
        <w:rPr>
          <w:rFonts w:ascii="Times New Roman" w:hAnsi="Times New Roman" w:eastAsia="Times New Roman"/>
          <w:i/>
          <w:sz w:val="24"/>
        </w:rPr>
        <w:t>k</w:t>
      </w:r>
      <w:r>
        <w:rPr>
          <w:rFonts w:ascii="Times New Roman" w:hAnsi="Times New Roman" w:eastAsia="Times New Roman"/>
          <w:sz w:val="24"/>
        </w:rPr>
        <w:t xml:space="preserve"> of the available online-specific literature.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Times New Roman" w:hAnsi="Times New Roman" w:eastAsia="Times New Roman"/>
        <w:sz w:val="24"/>
      </w:rPr>
      <w:t>BIG FIVE AND ONLINE LEARNING</w:t>
      <w:tab/>
      <w:tab/>
    </w: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