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PRISMA 2020 Flow Diagram of the Study Selection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51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5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Flow diagram adapted from the PRISMA 2020 statement (Page et al., 2021). Records were identified through WebSearch-based formal search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80 from eight structured queries), preliminary informal search yielding a previously curated corpus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28), and citation snowballing combined with open-access repository downloads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12), for a total of 120 records. After deduplication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40 removed), 80 records underwent title and abstract screening, with 25 excluded primarily for wrong population, non-Big-Five personality frameworks, or no online learning component. Of 43 full-text reports sought, 5 were not retrievable (paywall), and 38 were assessed for eligibility. Seven reports were excluded at the full-text stage with explicit reasons: non-Big-Five framework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5; MBTI, Proactive Personality, TAM, TUE, and other non-FFM operationalization), face-to-face modality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4; A-09 Bhattacharjee &amp; Ramkumar, 2025; A-10 Boonyapison et al., 2025; A-14 Eilam et al., 2009; A-16 Hidalgo-Fuentes et al., 2024), sample overlap with an already-included study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A-05 Audet et al., 2023 overlapped with A-04 Audet et al., 2021), and effect size not extractable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A-24 Tlili et al., 2023, lag sequential analysis). The 31 remaining studies were included in the systematic review; 10 contributed direct Pearson correlations to the primary achievement pool, 4 contributed β-converted effect sizes via Peterson and Brown's (2005) approximation, and 17 were retained for secondary analyses or narrative synthesis.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Conscientiousness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Agreeableness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Openness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Neuroticism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6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Extraversion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7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Conscientiousness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2.14,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.094.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8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Agreeableness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−8.53,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.072.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9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Openness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−6.41,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.045.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10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Neuroticism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−1.79,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.304.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Extraversion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2.29,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.255. See Table 4 for full publication-bias assessment.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