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Healthcare (MDPI)</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Healthcare. The manuscript fits the “Mental Health, Workplace Health, and Well-being” topical area.</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Healthcare.</w:t>
      </w:r>
      <w:r>
        <w:rPr>
          <w:rFonts w:ascii="Calibri" w:hAnsi="Calibri"/>
          <w:sz w:val="22"/>
        </w:rPr>
        <w:t xml:space="preserve"> Workplace harassment is a major occupational-health risk associated with deteriorated mental health, increased turnover, and reduced organisational well-being. Healthcare regularly publishes empirical work on psychosocial occupational health, and the present manuscript contributes individual-difference evidence on perpetration tendencies from a Japanese employee sample — a population context still under-represented in the workplace-health literature. The findings are directly relevant to readers concerned with evidence-based prevention strategies and organisational well-being.</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MDPI submission requirements are addressed: ORCID, structured declarations conforming to the Healthcare template, and data availability linked to a public repository (sole author).</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