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d1a628b3d591bdd8a5258962e5cbc0ca6d167b"/>
    <w:p>
      <w:pPr>
        <w:pStyle w:val="Heading1"/>
      </w:pPr>
      <w:r>
        <w:t xml:space="preserve">Cover Letter — IEEE TALE 2026 Paper Submission</w:t>
      </w:r>
    </w:p>
    <w:p>
      <w:pPr>
        <w:pStyle w:val="FirstParagraph"/>
      </w:pPr>
      <w:r>
        <w:rPr>
          <w:bCs/>
          <w:b/>
        </w:rPr>
        <w:t xml:space="preserve">To</w:t>
      </w:r>
      <w:r>
        <w:t xml:space="preserve">: Programme Committee, IEEE TALE 2026</w:t>
      </w:r>
      <w:r>
        <w:t xml:space="preserve"> </w:t>
      </w:r>
      <w:r>
        <w:rPr>
          <w:bCs/>
          <w:b/>
        </w:rPr>
        <w:t xml:space="preserve">Submission system</w:t>
      </w:r>
      <w:r>
        <w:t xml:space="preserve">: EDAS (https://edas.info/)</w:t>
      </w:r>
      <w:r>
        <w:t xml:space="preserve"> </w:t>
      </w:r>
      <w:r>
        <w:rPr>
          <w:bCs/>
          <w:b/>
        </w:rPr>
        <w:t xml:space="preserve">Conference</w:t>
      </w:r>
      <w:r>
        <w:t xml:space="preserve">: IEEE TALE 2026, Pattaya, Thailand, 2–4 December 2026</w:t>
      </w:r>
      <w:r>
        <w:t xml:space="preserve"> </w:t>
      </w:r>
      <w:r>
        <w:rPr>
          <w:bCs/>
          <w:b/>
        </w:rPr>
        <w:t xml:space="preserve">From</w:t>
      </w:r>
      <w:r>
        <w:t xml:space="preserve">: Eisuke Tokiwa, SUNBLAZE Co., Ltd., Tokyo, Japan (ORCID 0009-0009-7124-6669)</w:t>
      </w:r>
      <w:r>
        <w:t xml:space="preserve"> </w:t>
      </w:r>
      <w:r>
        <w:rPr>
          <w:bCs/>
          <w:b/>
        </w:rPr>
        <w:t xml:space="preserve">Date</w:t>
      </w:r>
      <w:r>
        <w:t xml:space="preserve">: 2026-06-30 (paper submission deadline)</w:t>
      </w:r>
      <w:r>
        <w:t xml:space="preserve"> </w:t>
      </w:r>
      <w:r>
        <w:rPr>
          <w:bCs/>
          <w:b/>
        </w:rPr>
        <w:t xml:space="preserve">Subject</w:t>
      </w:r>
      <w:r>
        <w:t xml:space="preserve">: IEEE TALE 2026 paper submission —</w:t>
      </w:r>
      <w:r>
        <w:t xml:space="preserve"> </w:t>
      </w:r>
      <w:r>
        <w:rPr>
          <w:iCs/>
          <w:i/>
        </w:rPr>
        <w:t xml:space="preserve">From correlations to predictions: A study-level machine-learning interpretability layer over a Big Five — online-learning meta-analysis</w:t>
      </w:r>
      <w:r>
        <w:t xml:space="preserve"> </w:t>
      </w:r>
      <w:r>
        <w:rPr>
          <w:bCs/>
          <w:b/>
        </w:rPr>
        <w:t xml:space="preserve">Track</w:t>
      </w:r>
      <w:r>
        <w:t xml:space="preserve">: AI for Education (Learning Analytics) / Online &amp; Blended Learning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IEEE TALE 2026 Programme Committee,</w:t>
      </w:r>
    </w:p>
    <w:p>
      <w:pPr>
        <w:pStyle w:val="BodyText"/>
      </w:pPr>
      <w:r>
        <w:t xml:space="preserve">I am pleased to submit the enclosed paper,</w:t>
      </w:r>
      <w:r>
        <w:t xml:space="preserve"> </w:t>
      </w:r>
      <w:r>
        <w:rPr>
          <w:iCs/>
          <w:i/>
        </w:rPr>
        <w:t xml:space="preserve">From correlations to predictions: A study-level machine-learning interpretability layer over a Big Five — online-learning meta-analysis, with a fairness audit across region and era</w:t>
      </w:r>
      <w:r>
        <w:t xml:space="preserve">, to the IEEE Conference on Teaching, Assessment, and Learning for Engineers 2026.</w:t>
      </w:r>
    </w:p>
    <w:bookmarkStart w:id="20" w:name="manuscript-summary"/>
    <w:p>
      <w:pPr>
        <w:pStyle w:val="Heading2"/>
      </w:pPr>
      <w:r>
        <w:t xml:space="preserve">Manuscript summary</w:t>
      </w:r>
    </w:p>
    <w:p>
      <w:pPr>
        <w:pStyle w:val="FirstParagraph"/>
      </w:pPr>
      <w:r>
        <w:t xml:space="preserve">The manuscript layers a study-level machine-learning interpretability and fairness pipeline on top of a Big Five × online-learning meta-analysis corpus restricted to STEM / engineering primary studies (k ≈ 8–10 studies depending on availability filter). Three predictive models — logistic regression, random forest, and XGBoost — are trained leave-one-study-out (LOSO) on study-level features (trait, modality, region, era, instrument, sample size, education level) to predict whether each per-trait correlation is</w:t>
      </w:r>
      <w:r>
        <w:t xml:space="preserve"> </w:t>
      </w:r>
      <w:r>
        <w:t xml:space="preserve">“</w:t>
      </w:r>
      <w:r>
        <w:t xml:space="preserve">moderate or stronger</w:t>
      </w:r>
      <w:r>
        <w:t xml:space="preserve">”</w:t>
      </w:r>
      <w:r>
        <w:t xml:space="preserve"> </w:t>
      </w:r>
      <w:r>
        <w:t xml:space="preserve">(|r| ≥ 0.10). SHAP feature attribution decomposes which study-level descriptors most predict the trait–achievement correlation magnitude. A Fairlearn-based subgroup audit then evaluates demographic parity and equalised odds across (i) region (Asia vs non-Asia) and (ii) era (pre-COVID / COVID / post-COVID).</w:t>
      </w:r>
    </w:p>
    <w:p>
      <w:pPr>
        <w:pStyle w:val="BodyText"/>
      </w:pPr>
      <w:r>
        <w:t xml:space="preserve">The paper’s framing is deliberately</w:t>
      </w:r>
      <w:r>
        <w:t xml:space="preserve"> </w:t>
      </w:r>
      <w:r>
        <w:rPr>
          <w:bCs/>
          <w:b/>
        </w:rPr>
        <w:t xml:space="preserve">methodological for the engineering-education audience</w:t>
      </w:r>
      <w:r>
        <w:t xml:space="preserve">: it shows how interpretable ML can serve as a meta-analytic auditing tool, surfacing which study-level features (rather than which traits) most explain heterogeneity across the synthesised evidence. The fairness audit is a transparent acknowledgement that meta-analytic conclusions are themselves subject to subgroup-coverage bias.</w:t>
      </w:r>
    </w:p>
    <w:bookmarkEnd w:id="20"/>
    <w:bookmarkStart w:id="21" w:name="fit-with-tale-2026-theme"/>
    <w:p>
      <w:pPr>
        <w:pStyle w:val="Heading2"/>
      </w:pPr>
      <w:r>
        <w:t xml:space="preserve">Fit with TALE 2026 theme</w:t>
      </w:r>
    </w:p>
    <w:p>
      <w:pPr>
        <w:pStyle w:val="FirstParagraph"/>
      </w:pPr>
      <w:r>
        <w:t xml:space="preserve">The 2026 theme —</w:t>
      </w:r>
      <w:r>
        <w:t xml:space="preserve"> </w:t>
      </w:r>
      <w:r>
        <w:rPr>
          <w:iCs/>
          <w:i/>
        </w:rPr>
        <w:t xml:space="preserve">AI-Augmented Learning: Redefining the Future of Engineering &amp; Technology Education</w:t>
      </w:r>
      <w:r>
        <w:t xml:space="preserve"> </w:t>
      </w:r>
      <w:r>
        <w:t xml:space="preserve">— and the AI for Education track (Learning Analytics, Ethical AI, Adaptive Learning) align directly with the paper’s combination of (i) ML-based learning-analytics methodology applied to (ii) a meta-analytic corpus from engineering / STEM online-learning studies, with (iii) explicit fairness considerations.</w:t>
      </w:r>
    </w:p>
    <w:bookmarkEnd w:id="21"/>
    <w:bookmarkStart w:id="22" w:name="Xdf330b74471b99a343c6bed6f50894671db759a"/>
    <w:p>
      <w:pPr>
        <w:pStyle w:val="Heading2"/>
      </w:pPr>
      <w:r>
        <w:t xml:space="preserve">Preprint disclosure (IEEE policy compliance)</w:t>
      </w:r>
    </w:p>
    <w:p>
      <w:pPr>
        <w:pStyle w:val="FirstParagraph"/>
      </w:pPr>
      <w:r>
        <w:t xml:space="preserve">The systematic review and meta-analysis on which this paper builds was deposited on Research Square as a preprint (DOI 10.21203/rs.3.rs-9513298/v1, posted 27 April 2026). The present TALE submission reports a</w:t>
      </w:r>
      <w:r>
        <w:t xml:space="preserve"> </w:t>
      </w:r>
      <w:r>
        <w:rPr>
          <w:bCs/>
          <w:b/>
        </w:rPr>
        <w:t xml:space="preserve">study-level machine-learning pipeline (Logistic Regression / Random Forest / XGBoost) trained on the STEM / engineering subset, together with SHAP-based interpretation and a Fairlearn-based fairness audit</w:t>
      </w:r>
      <w:r>
        <w:t xml:space="preserve">. None of these analyses appears in the preprint.</w:t>
      </w:r>
    </w:p>
    <w:p>
      <w:pPr>
        <w:pStyle w:val="BodyText"/>
      </w:pPr>
      <w:r>
        <w:t xml:space="preserve">I acknowledge that IEEE’s preprint policy lists permitted preprint locations (arXiv, TechRxiv, PSPB-approved non-profit servers, institutional repositories, personal websites) and that Research Square may not appear on the PSPB-approved list. I therefore wish to flag, transparently:</w:t>
      </w:r>
    </w:p>
    <w:p>
      <w:pPr>
        <w:numPr>
          <w:ilvl w:val="0"/>
          <w:numId w:val="1001"/>
        </w:numPr>
        <w:pStyle w:val="Compact"/>
      </w:pPr>
      <w:r>
        <w:t xml:space="preserve">The preprint is hosted on Research Square (commercial publisher Springer Nature, but operating the server as a non-profit-style preprint repository under CC BY 4.0). The author has full author rights to submit elsewhere and has not transferred copyright.</w:t>
      </w:r>
    </w:p>
    <w:p>
      <w:pPr>
        <w:numPr>
          <w:ilvl w:val="0"/>
          <w:numId w:val="1001"/>
        </w:numPr>
        <w:pStyle w:val="Compact"/>
      </w:pPr>
      <w:r>
        <w:t xml:space="preserve">Should the IEEE TALE chairs determine that the preprint must be migrated to an explicitly PSPB-approved venue (TechRxiv, arXiv, or an OSF-hosted preprint), the author is prepared to</w:t>
      </w:r>
      <w:r>
        <w:t xml:space="preserve"> </w:t>
      </w:r>
      <w:r>
        <w:rPr>
          <w:bCs/>
          <w:b/>
        </w:rPr>
        <w:t xml:space="preserve">migrate the preprint to TechRxiv</w:t>
      </w:r>
      <w:r>
        <w:t xml:space="preserve"> </w:t>
      </w:r>
      <w:r>
        <w:t xml:space="preserve">(or another PSPB-approved server) and to</w:t>
      </w:r>
      <w:r>
        <w:t xml:space="preserve"> </w:t>
      </w:r>
      <w:r>
        <w:rPr>
          <w:bCs/>
          <w:b/>
        </w:rPr>
        <w:t xml:space="preserve">withdraw the Research Square version</w:t>
      </w:r>
      <w:r>
        <w:t xml:space="preserve"> </w:t>
      </w:r>
      <w:r>
        <w:t xml:space="preserve">prior to camera-ready submission. The migration procedure is pre-prepared (</w:t>
      </w:r>
      <w:r>
        <w:rPr>
          <w:rStyle w:val="VerbatimChar"/>
        </w:rPr>
        <w:t xml:space="preserve">preprint_migration/README.md</w:t>
      </w:r>
      <w:r>
        <w:t xml:space="preserve"> </w:t>
      </w:r>
      <w:r>
        <w:t xml:space="preserve">in the author’s working repository).</w:t>
      </w:r>
    </w:p>
    <w:p>
      <w:pPr>
        <w:numPr>
          <w:ilvl w:val="0"/>
          <w:numId w:val="1001"/>
        </w:numPr>
        <w:pStyle w:val="Compact"/>
      </w:pPr>
      <w:r>
        <w:t xml:space="preserve">Upon acceptance, the author will execute the IEEE Copyright Form per standard procedure.</w:t>
      </w:r>
    </w:p>
    <w:p>
      <w:pPr>
        <w:pStyle w:val="FirstParagraph"/>
      </w:pPr>
      <w:r>
        <w:t xml:space="preserve">I have submitted a separate brief inquiry to the TALE 2026 chairs regarding (a) the explicit PSPB-status of Research Square and (b) the availability of virtual presentation, and will follow whichever guidance is provided.</w:t>
      </w:r>
    </w:p>
    <w:bookmarkEnd w:id="22"/>
    <w:bookmarkStart w:id="23" w:name="statements"/>
    <w:p>
      <w:pPr>
        <w:pStyle w:val="Heading2"/>
      </w:pPr>
      <w:r>
        <w:t xml:space="preserve">Statements</w:t>
      </w:r>
    </w:p>
    <w:p>
      <w:pPr>
        <w:numPr>
          <w:ilvl w:val="0"/>
          <w:numId w:val="1002"/>
        </w:numPr>
        <w:pStyle w:val="Compact"/>
      </w:pPr>
      <w:r>
        <w:t xml:space="preserve">This is single-authored work. There are no co-authors.</w:t>
      </w:r>
    </w:p>
    <w:p>
      <w:pPr>
        <w:numPr>
          <w:ilvl w:val="0"/>
          <w:numId w:val="1002"/>
        </w:numPr>
        <w:pStyle w:val="Compact"/>
      </w:pPr>
      <w:r>
        <w:t xml:space="preserve">The manuscript has not been published in any peer-reviewed venue and is not under consideration elsewhere.</w:t>
      </w:r>
    </w:p>
    <w:p>
      <w:pPr>
        <w:numPr>
          <w:ilvl w:val="0"/>
          <w:numId w:val="1002"/>
        </w:numPr>
        <w:pStyle w:val="Compact"/>
      </w:pPr>
      <w:r>
        <w:t xml:space="preserve">The author declares one disclosed conflict of interest: the corpus includes one of the author’s own primary studies (Tokiwa 2025, manuscript in preparation, SUNBLAZE Co., Ltd.); inclusion is flagged and the LOSO design naturally handles per-study leakage.</w:t>
      </w:r>
    </w:p>
    <w:p>
      <w:pPr>
        <w:numPr>
          <w:ilvl w:val="0"/>
          <w:numId w:val="1002"/>
        </w:numPr>
        <w:pStyle w:val="Compact"/>
      </w:pPr>
      <w:r>
        <w:t xml:space="preserve">The author reports no competing financial interests and received no external funding for this work.</w:t>
      </w:r>
    </w:p>
    <w:p>
      <w:pPr>
        <w:pStyle w:val="FirstParagraph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Eisuke Tokiwa</w:t>
      </w:r>
      <w:r>
        <w:t xml:space="preserve"> </w:t>
      </w:r>
      <w:r>
        <w:t xml:space="preserve">SUNBLAZE Co., Ltd.</w:t>
      </w:r>
      <w:r>
        <w:t xml:space="preserve"> </w:t>
      </w:r>
      <w:r>
        <w:t xml:space="preserve">Tokyo, Japan</w:t>
      </w:r>
      <w:r>
        <w:t xml:space="preserve"> </w:t>
      </w:r>
      <w:r>
        <w:t xml:space="preserve">ORCID 0009-0009-7124-6669</w:t>
      </w:r>
      <w:r>
        <w:t xml:space="preserve"> </w:t>
      </w:r>
      <w:r>
        <w:t xml:space="preserve">sub.ashuman@gmail.com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2026-05-10T03:50:43Z</dcterms:created>
  <dcterms:modified xsi:type="dcterms:W3CDTF">2026-05-10T03:50:43Z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