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Founder of SUNBLAZE Co., Ltd.</w:t>
      </w:r>
    </w:p>
    <w:p>
      <w:pPr>
        <w:spacing w:line="480" w:lineRule="auto" w:before="0" w:after="0"/>
        <w:jc w:val="center"/>
      </w:pPr>
      <w:r>
        <w:rPr>
          <w:rFonts w:ascii="Times New Roman" w:hAnsi="Times New Roman" w:eastAsia="Times New Roman"/>
          <w:sz w:val="24"/>
        </w:rPr>
        <w:t>Tokyo, Japan</w:t>
      </w:r>
    </w:p>
    <w:p>
      <w:pPr>
        <w:spacing w:line="480" w:lineRule="auto" w:before="0" w:after="0"/>
        <w:jc w:val="center"/>
      </w:pPr>
      <w:r>
        <w:rPr>
          <w:rFonts w:ascii="Times New Roman" w:hAnsi="Times New Roman" w:eastAsia="Times New Roman"/>
          <w:sz w:val="24"/>
        </w:rPr>
        <w:t>eisuke.tokiwa@sunblaze.jp</w:t>
      </w:r>
    </w:p>
    <w:p>
      <w:pPr>
        <w:spacing w:line="480" w:lineRule="auto" w:before="0" w:after="0"/>
        <w:jc w:val="center"/>
      </w:pPr>
      <w:r>
        <w:rPr>
          <w:rFonts w:ascii="Times New Roman" w:hAnsi="Times New Roman" w:eastAsia="Times New Roman"/>
          <w:sz w:val="24"/>
        </w:rPr>
        <w:t>ORCID: 0009-0009-7124-6669</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meta-analysis synthesizes data from previously published studies and does not involve direct collection of data from human participants. Ethical approval for the original studies was the responsibility of the authors of those studies.</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Not applicable. All included studies obtained informed consent from their participants in accordance with institutional and journal requirements at the time of original data collection.</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(https://osf.io/79m5j/).</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All extracted data, analysis code, search logs, and supplementary materials are publicly available on the OSF project page (https://osf.io/79m5j/) and the accompanying GitHub repository (https://github.com/etoki/paper, directory metaanalysis/).</w:t>
      </w:r>
    </w:p>
    <w:p>
      <w:pPr>
        <w:spacing w:line="480" w:lineRule="auto" w:before="0" w:after="0"/>
      </w:pPr>
    </w:p>
    <w:p>
      <w:pPr>
        <w:spacing w:line="480" w:lineRule="auto" w:before="0" w:after="0"/>
      </w:pPr>
      <w:r>
        <w:rPr>
          <w:rFonts w:ascii="Times New Roman" w:hAnsi="Times New Roman" w:eastAsia="Times New Roman"/>
          <w:b/>
          <w:sz w:val="24"/>
        </w:rPr>
        <w:t>Preprint Statement</w:t>
      </w:r>
    </w:p>
    <w:p>
      <w:pPr>
        <w:spacing w:line="480" w:lineRule="auto" w:before="0" w:after="0"/>
      </w:pPr>
      <w:r>
        <w:rPr>
          <w:rFonts w:ascii="Times New Roman" w:hAnsi="Times New Roman" w:eastAsia="Times New Roman"/>
          <w:sz w:val="24"/>
        </w:rPr>
        <w:t>A preprint version of this manuscript will be deposited on an open-access preprint repository (e.g., PsyArXiv or OSF Preprints) upon submission. The preprint DOI will be recorded here once assigned. This preprint has not been peer-reviewed by a journal, and readers should interpret findings accordingly. Any substantive revisions introduced during peer review will be reflected in a versioned preprint update.</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 xml:space="preserve">Academic achievement in online learning environments has become a central concern for post-secondary education following the global shift toward digital instruction, yet existing meta-analyses of Big Five personality traits and academic performance have pooled samples across face-to-face, blended, and online modalities without testing delivery mode as a substantive moderator. The present systematic review and meta-analysis is the first quantitative synthesis dedicated to online learning environments. The review was pre-registered on OSF Registries (DOI: 10.17605/OSF.IO/E5W47) prior to data extraction. Following PRISMA 2020 reporting standards, 31 primary studies reporting associations between Big Five (or HEXACO) personality traits and academic achievement in online, blended, or MOOC environments were synthesized. Effect sizes were pooled using random-effects meta-analysis with Restricted Maximum Likelihood estimation and Hartung-Knapp-Sidik-Jonkman confidence-interval adjustment on the Fisher </w:t>
      </w:r>
      <w:r>
        <w:rPr>
          <w:rFonts w:ascii="Times New Roman" w:hAnsi="Times New Roman" w:eastAsia="Times New Roman"/>
          <w:i/>
          <w:sz w:val="24"/>
        </w:rPr>
        <w:t>z</w:t>
      </w:r>
      <w:r>
        <w:rPr>
          <w:rFonts w:ascii="Times New Roman" w:hAnsi="Times New Roman" w:eastAsia="Times New Roman"/>
          <w:sz w:val="24"/>
        </w:rPr>
        <w:t xml:space="preserve"> scale. Ten studies (pooled </w:t>
      </w:r>
      <w:r>
        <w:rPr>
          <w:rFonts w:ascii="Times New Roman" w:hAnsi="Times New Roman" w:eastAsia="Times New Roman"/>
          <w:i/>
          <w:sz w:val="24"/>
        </w:rPr>
        <w:t>N</w:t>
      </w:r>
      <w:r>
        <w:rPr>
          <w:rFonts w:ascii="Times New Roman" w:hAnsi="Times New Roman" w:eastAsia="Times New Roman"/>
          <w:sz w:val="24"/>
        </w:rPr>
        <w:t xml:space="preserve"> = 3,384) contributed direct Pearson correlations to the primary achievement pool. Conscientiousness emerged as the strongest positive predictor (pooled </w:t>
      </w:r>
      <w:r>
        <w:rPr>
          <w:rFonts w:ascii="Times New Roman" w:hAnsi="Times New Roman" w:eastAsia="Times New Roman"/>
          <w:i/>
          <w:sz w:val="24"/>
        </w:rPr>
        <w:t>r</w:t>
      </w:r>
      <w:r>
        <w:rPr>
          <w:rFonts w:ascii="Times New Roman" w:hAnsi="Times New Roman" w:eastAsia="Times New Roman"/>
          <w:sz w:val="24"/>
        </w:rPr>
        <w:t xml:space="preserve"> = .167, 95% CI [.089, .243]; </w:t>
      </w:r>
      <w:r>
        <w:rPr>
          <w:rFonts w:ascii="Times New Roman" w:hAnsi="Times New Roman" w:eastAsia="Times New Roman"/>
          <w:i/>
          <w:sz w:val="24"/>
        </w:rPr>
        <w:t>I²</w:t>
      </w:r>
      <w:r>
        <w:rPr>
          <w:rFonts w:ascii="Times New Roman" w:hAnsi="Times New Roman" w:eastAsia="Times New Roman"/>
          <w:sz w:val="24"/>
        </w:rPr>
        <w:t xml:space="preserve"> = 65.1%), followed by Agreeableness (</w:t>
      </w:r>
      <w:r>
        <w:rPr>
          <w:rFonts w:ascii="Times New Roman" w:hAnsi="Times New Roman" w:eastAsia="Times New Roman"/>
          <w:i/>
          <w:sz w:val="24"/>
        </w:rPr>
        <w:t>r</w:t>
      </w:r>
      <w:r>
        <w:rPr>
          <w:rFonts w:ascii="Times New Roman" w:hAnsi="Times New Roman" w:eastAsia="Times New Roman"/>
          <w:sz w:val="24"/>
        </w:rPr>
        <w:t xml:space="preserve"> = .112 [−.031, .250]), Openness (</w:t>
      </w:r>
      <w:r>
        <w:rPr>
          <w:rFonts w:ascii="Times New Roman" w:hAnsi="Times New Roman" w:eastAsia="Times New Roman"/>
          <w:i/>
          <w:sz w:val="24"/>
        </w:rPr>
        <w:t>r</w:t>
      </w:r>
      <w:r>
        <w:rPr>
          <w:rFonts w:ascii="Times New Roman" w:hAnsi="Times New Roman" w:eastAsia="Times New Roman"/>
          <w:sz w:val="24"/>
        </w:rPr>
        <w:t xml:space="preserve"> = .086 [−.044, .214]),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Two pre-registered moderator effects were highly significant: Extraversion × Region (Asian samples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Extraversion × Outcome Type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The findings provide preliminary support for the Personality-Achievement Saturation Hypothesis (PASH) extended to technology-mediated learning and document novel cultural- and outcome-type-dependent shifts in the Extraversion-achievement association. Confidence in pooled estimates (GRADE) ranged from Moderate (Conscientiousness, Extraversion) to Low (Openness, Agreeableness, Neuroticism). Limitations include the modest </w:t>
      </w:r>
      <w:r>
        <w:rPr>
          <w:rFonts w:ascii="Times New Roman" w:hAnsi="Times New Roman" w:eastAsia="Times New Roman"/>
          <w:i/>
          <w:sz w:val="24"/>
        </w:rPr>
        <w:t>k</w:t>
      </w:r>
      <w:r>
        <w:rPr>
          <w:rFonts w:ascii="Times New Roman" w:hAnsi="Times New Roman" w:eastAsia="Times New Roman"/>
          <w:sz w:val="24"/>
        </w:rPr>
        <w:t xml:space="preserve"> (9–10 studies per trait) and the use of web-based rather than institutionally-licensed database searches. Online learning environments modify, but do not fundamentally transform, the well-established personality-achievement pattern; the most theoretically important divergences concern Extraversion and are structured by cultural context and outcome methodology.</w:t>
      </w:r>
    </w:p>
    <w:p>
      <w:pPr>
        <w:spacing w:line="480" w:lineRule="auto" w:before="0" w:after="0"/>
      </w:pPr>
    </w:p>
    <w:p>
      <w:pPr>
        <w:spacing w:line="480" w:lineRule="auto" w:before="0" w:after="0"/>
      </w:pPr>
      <w:r>
        <w:rPr>
          <w:rFonts w:ascii="Times New Roman" w:hAnsi="Times New Roman" w:eastAsia="Times New Roman"/>
          <w:sz w:val="24"/>
        </w:rPr>
        <w:t>Keywords: Big Five; Five-Factor Model; HEXACO;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 xml:space="preserve">Eight large-scale meta-analyses have established a robust pattern of associations between the Big Five personality traits and academic achievement. Poropat (2009), synthesizing 138 samples and over 70,000 participants, reported a corrected correlation of </w:t>
      </w:r>
      <w:r>
        <w:rPr>
          <w:rFonts w:ascii="Times New Roman" w:hAnsi="Times New Roman" w:eastAsia="Times New Roman"/>
          <w:i/>
          <w:sz w:val="24"/>
        </w:rPr>
        <w:t>ρ</w:t>
      </w:r>
      <w:r>
        <w:rPr>
          <w:rFonts w:ascii="Times New Roman" w:hAnsi="Times New Roman" w:eastAsia="Times New Roman"/>
          <w:sz w:val="24"/>
        </w:rPr>
        <w:t xml:space="preserve"> = .22 between Conscientiousness and academic performance, with smaller but significant effects for Openness (</w:t>
      </w:r>
      <w:r>
        <w:rPr>
          <w:rFonts w:ascii="Times New Roman" w:hAnsi="Times New Roman" w:eastAsia="Times New Roman"/>
          <w:i/>
          <w:sz w:val="24"/>
        </w:rPr>
        <w:t>ρ</w:t>
      </w:r>
      <w:r>
        <w:rPr>
          <w:rFonts w:ascii="Times New Roman" w:hAnsi="Times New Roman" w:eastAsia="Times New Roman"/>
          <w:sz w:val="24"/>
        </w:rPr>
        <w:t xml:space="preserve"> = .12) and Agreeableness (</w:t>
      </w:r>
      <w:r>
        <w:rPr>
          <w:rFonts w:ascii="Times New Roman" w:hAnsi="Times New Roman" w:eastAsia="Times New Roman"/>
          <w:i/>
          <w:sz w:val="24"/>
        </w:rPr>
        <w:t>ρ</w:t>
      </w:r>
      <w:r>
        <w:rPr>
          <w:rFonts w:ascii="Times New Roman" w:hAnsi="Times New Roman" w:eastAsia="Times New Roman"/>
          <w:sz w:val="24"/>
        </w:rPr>
        <w:t xml:space="preserve"> = .07), and essentially null effects for Extraversion (</w:t>
      </w:r>
      <w:r>
        <w:rPr>
          <w:rFonts w:ascii="Times New Roman" w:hAnsi="Times New Roman" w:eastAsia="Times New Roman"/>
          <w:i/>
          <w:sz w:val="24"/>
        </w:rPr>
        <w:t>ρ</w:t>
      </w:r>
      <w:r>
        <w:rPr>
          <w:rFonts w:ascii="Times New Roman" w:hAnsi="Times New Roman" w:eastAsia="Times New Roman"/>
          <w:sz w:val="24"/>
        </w:rPr>
        <w:t xml:space="preserve"> = −.01) and Neuroticism (</w:t>
      </w:r>
      <w:r>
        <w:rPr>
          <w:rFonts w:ascii="Times New Roman" w:hAnsi="Times New Roman" w:eastAsia="Times New Roman"/>
          <w:i/>
          <w:sz w:val="24"/>
        </w:rPr>
        <w:t>ρ</w:t>
      </w:r>
      <w:r>
        <w:rPr>
          <w:rFonts w:ascii="Times New Roman" w:hAnsi="Times New Roman" w:eastAsia="Times New Roman"/>
          <w:sz w:val="24"/>
        </w:rPr>
        <w:t xml:space="preserve"> = .02). These findings were replicated and extended by McAbee and Oswald (2013; </w:t>
      </w:r>
      <w:r>
        <w:rPr>
          <w:rFonts w:ascii="Times New Roman" w:hAnsi="Times New Roman" w:eastAsia="Times New Roman"/>
          <w:i/>
          <w:sz w:val="24"/>
        </w:rPr>
        <w:t>k</w:t>
      </w:r>
      <w:r>
        <w:rPr>
          <w:rFonts w:ascii="Times New Roman" w:hAnsi="Times New Roman" w:eastAsia="Times New Roman"/>
          <w:sz w:val="24"/>
        </w:rPr>
        <w:t xml:space="preserve"> = 57, </w:t>
      </w:r>
      <w:r>
        <w:rPr>
          <w:rFonts w:ascii="Times New Roman" w:hAnsi="Times New Roman" w:eastAsia="Times New Roman"/>
          <w:i/>
          <w:sz w:val="24"/>
        </w:rPr>
        <w:t>N</w:t>
      </w:r>
      <w:r>
        <w:rPr>
          <w:rFonts w:ascii="Times New Roman" w:hAnsi="Times New Roman" w:eastAsia="Times New Roman"/>
          <w:sz w:val="24"/>
        </w:rPr>
        <w:t xml:space="preserve"> = 26,382; C </w:t>
      </w:r>
      <w:r>
        <w:rPr>
          <w:rFonts w:ascii="Times New Roman" w:hAnsi="Times New Roman" w:eastAsia="Times New Roman"/>
          <w:i/>
          <w:sz w:val="24"/>
        </w:rPr>
        <w:t>ρ</w:t>
      </w:r>
      <w:r>
        <w:rPr>
          <w:rFonts w:ascii="Times New Roman" w:hAnsi="Times New Roman" w:eastAsia="Times New Roman"/>
          <w:sz w:val="24"/>
        </w:rPr>
        <w:t xml:space="preserve"> = .26) and by Vedel (2014; </w:t>
      </w:r>
      <w:r>
        <w:rPr>
          <w:rFonts w:ascii="Times New Roman" w:hAnsi="Times New Roman" w:eastAsia="Times New Roman"/>
          <w:i/>
          <w:sz w:val="24"/>
        </w:rPr>
        <w:t>k</w:t>
      </w:r>
      <w:r>
        <w:rPr>
          <w:rFonts w:ascii="Times New Roman" w:hAnsi="Times New Roman" w:eastAsia="Times New Roman"/>
          <w:sz w:val="24"/>
        </w:rPr>
        <w:t xml:space="preserve"> = 21, </w:t>
      </w:r>
      <w:r>
        <w:rPr>
          <w:rFonts w:ascii="Times New Roman" w:hAnsi="Times New Roman" w:eastAsia="Times New Roman"/>
          <w:i/>
          <w:sz w:val="24"/>
        </w:rPr>
        <w:t>N</w:t>
      </w:r>
      <w:r>
        <w:rPr>
          <w:rFonts w:ascii="Times New Roman" w:hAnsi="Times New Roman" w:eastAsia="Times New Roman"/>
          <w:sz w:val="24"/>
        </w:rPr>
        <w:t xml:space="preserve"> = 17,717; C </w:t>
      </w:r>
      <w:r>
        <w:rPr>
          <w:rFonts w:ascii="Times New Roman" w:hAnsi="Times New Roman" w:eastAsia="Times New Roman"/>
          <w:i/>
          <w:sz w:val="24"/>
        </w:rPr>
        <w:t>ρ</w:t>
      </w:r>
      <w:r>
        <w:rPr>
          <w:rFonts w:ascii="Times New Roman" w:hAnsi="Times New Roman" w:eastAsia="Times New Roman"/>
          <w:sz w:val="24"/>
        </w:rPr>
        <w:t xml:space="preserve"> = .26), both restricted to tertiary education. Stajkovic, Bandura, Locke, Lee, and Sergent (2018) provided additional evidence that Conscientiousness predicts academic achievement both directly and indirectly through self-efficacy, with the self-efficacy path carrying a substantial proportion of the Conscientiousness effect (</w:t>
      </w:r>
      <w:r>
        <w:rPr>
          <w:rFonts w:ascii="Times New Roman" w:hAnsi="Times New Roman" w:eastAsia="Times New Roman"/>
          <w:i/>
          <w:sz w:val="24"/>
        </w:rPr>
        <w:t>β</w:t>
      </w:r>
      <w:r>
        <w:rPr>
          <w:rFonts w:ascii="Times New Roman" w:hAnsi="Times New Roman" w:eastAsia="Times New Roman"/>
          <w:sz w:val="24"/>
        </w:rPr>
        <w:t xml:space="preserve"> = .24 to .33).</w:t>
      </w:r>
    </w:p>
    <w:p>
      <w:pPr>
        <w:spacing w:line="480" w:lineRule="auto" w:before="0" w:after="0"/>
        <w:ind w:firstLine="720"/>
      </w:pPr>
      <w:r>
        <w:rPr>
          <w:rFonts w:ascii="Times New Roman" w:hAnsi="Times New Roman" w:eastAsia="Times New Roman"/>
          <w:sz w:val="24"/>
        </w:rPr>
        <w:t xml:space="preserve">More recent syntheses have substantially expanded the evidence base. Mammadov (2022), in the largest meta-analysis to date (267 independent samples, </w:t>
      </w:r>
      <w:r>
        <w:rPr>
          <w:rFonts w:ascii="Times New Roman" w:hAnsi="Times New Roman" w:eastAsia="Times New Roman"/>
          <w:i/>
          <w:sz w:val="24"/>
        </w:rPr>
        <w:t>N</w:t>
      </w:r>
      <w:r>
        <w:rPr>
          <w:rFonts w:ascii="Times New Roman" w:hAnsi="Times New Roman" w:eastAsia="Times New Roman"/>
          <w:sz w:val="24"/>
        </w:rPr>
        <w:t xml:space="preserve"> = 413,074), reported a corrected pooled correlation of </w:t>
      </w:r>
      <w:r>
        <w:rPr>
          <w:rFonts w:ascii="Times New Roman" w:hAnsi="Times New Roman" w:eastAsia="Times New Roman"/>
          <w:i/>
          <w:sz w:val="24"/>
        </w:rPr>
        <w:t>ρ</w:t>
      </w:r>
      <w:r>
        <w:rPr>
          <w:rFonts w:ascii="Times New Roman" w:hAnsi="Times New Roman" w:eastAsia="Times New Roman"/>
          <w:sz w:val="24"/>
        </w:rPr>
        <w:t xml:space="preserve"> = .27 for Conscientiousness and </w:t>
      </w:r>
      <w:r>
        <w:rPr>
          <w:rFonts w:ascii="Times New Roman" w:hAnsi="Times New Roman" w:eastAsia="Times New Roman"/>
          <w:i/>
          <w:sz w:val="24"/>
        </w:rPr>
        <w:t>ρ</w:t>
      </w:r>
      <w:r>
        <w:rPr>
          <w:rFonts w:ascii="Times New Roman" w:hAnsi="Times New Roman" w:eastAsia="Times New Roman"/>
          <w:sz w:val="24"/>
        </w:rPr>
        <w:t xml:space="preserve"> = .16 for Openness, and documented a striking cultural moderation effect in which Asian samples showed markedly stronger associations (C </w:t>
      </w:r>
      <w:r>
        <w:rPr>
          <w:rFonts w:ascii="Times New Roman" w:hAnsi="Times New Roman" w:eastAsia="Times New Roman"/>
          <w:i/>
          <w:sz w:val="24"/>
        </w:rPr>
        <w:t>ρ</w:t>
      </w:r>
      <w:r>
        <w:rPr>
          <w:rFonts w:ascii="Times New Roman" w:hAnsi="Times New Roman" w:eastAsia="Times New Roman"/>
          <w:sz w:val="24"/>
        </w:rPr>
        <w:t xml:space="preserve"> = .35; A </w:t>
      </w:r>
      <w:r>
        <w:rPr>
          <w:rFonts w:ascii="Times New Roman" w:hAnsi="Times New Roman" w:eastAsia="Times New Roman"/>
          <w:i/>
          <w:sz w:val="24"/>
        </w:rPr>
        <w:t>ρ</w:t>
      </w:r>
      <w:r>
        <w:rPr>
          <w:rFonts w:ascii="Times New Roman" w:hAnsi="Times New Roman" w:eastAsia="Times New Roman"/>
          <w:sz w:val="24"/>
        </w:rPr>
        <w:t xml:space="preserve"> = .23;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ρ</w:t>
      </w:r>
      <w:r>
        <w:rPr>
          <w:rFonts w:ascii="Times New Roman" w:hAnsi="Times New Roman" w:eastAsia="Times New Roman"/>
          <w:sz w:val="24"/>
        </w:rPr>
        <w:t xml:space="preserve"> = −.19). Meyer, Jansen, Hübner, and Lüdtke (2023), focusing exclusively on K-12 samples (110 samples, </w:t>
      </w:r>
      <w:r>
        <w:rPr>
          <w:rFonts w:ascii="Times New Roman" w:hAnsi="Times New Roman" w:eastAsia="Times New Roman"/>
          <w:i/>
          <w:sz w:val="24"/>
        </w:rPr>
        <w:t>N</w:t>
      </w:r>
      <w:r>
        <w:rPr>
          <w:rFonts w:ascii="Times New Roman" w:hAnsi="Times New Roman" w:eastAsia="Times New Roman"/>
          <w:sz w:val="24"/>
        </w:rPr>
        <w:t xml:space="preserve"> = 500,218), obtained even larger estimates (C </w:t>
      </w:r>
      <w:r>
        <w:rPr>
          <w:rFonts w:ascii="Times New Roman" w:hAnsi="Times New Roman" w:eastAsia="Times New Roman"/>
          <w:i/>
          <w:sz w:val="24"/>
        </w:rPr>
        <w:t>ρ</w:t>
      </w:r>
      <w:r>
        <w:rPr>
          <w:rFonts w:ascii="Times New Roman" w:hAnsi="Times New Roman" w:eastAsia="Times New Roman"/>
          <w:sz w:val="24"/>
        </w:rPr>
        <w:t xml:space="preserve"> = .24; O </w:t>
      </w:r>
      <w:r>
        <w:rPr>
          <w:rFonts w:ascii="Times New Roman" w:hAnsi="Times New Roman" w:eastAsia="Times New Roman"/>
          <w:i/>
          <w:sz w:val="24"/>
        </w:rPr>
        <w:t>ρ</w:t>
      </w:r>
      <w:r>
        <w:rPr>
          <w:rFonts w:ascii="Times New Roman" w:hAnsi="Times New Roman" w:eastAsia="Times New Roman"/>
          <w:sz w:val="24"/>
        </w:rPr>
        <w:t xml:space="preserve">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(2022), in a second-order synthesis of 54 meta-analyses, confirmed the stability of these effects, with academic-specific estimates of C </w:t>
      </w:r>
      <w:r>
        <w:rPr>
          <w:rFonts w:ascii="Times New Roman" w:hAnsi="Times New Roman" w:eastAsia="Times New Roman"/>
          <w:i/>
          <w:sz w:val="24"/>
        </w:rPr>
        <w:t>ρ</w:t>
      </w:r>
      <w:r>
        <w:rPr>
          <w:rFonts w:ascii="Times New Roman" w:hAnsi="Times New Roman" w:eastAsia="Times New Roman"/>
          <w:sz w:val="24"/>
        </w:rPr>
        <w:t xml:space="preserve"> = .28 and E </w:t>
      </w:r>
      <w:r>
        <w:rPr>
          <w:rFonts w:ascii="Times New Roman" w:hAnsi="Times New Roman" w:eastAsia="Times New Roman"/>
          <w:i/>
          <w:sz w:val="24"/>
        </w:rPr>
        <w:t>ρ</w:t>
      </w:r>
      <w:r>
        <w:rPr>
          <w:rFonts w:ascii="Times New Roman" w:hAnsi="Times New Roman" w:eastAsia="Times New Roman"/>
          <w:sz w:val="24"/>
        </w:rPr>
        <w:t xml:space="preserve"> = −.01. Most recently, Chen, Cheung, and Zeng (2025), examining 84 articles and 370 independent correlations restricted to university students with samples of at least 200 participants, reported somewhat smaller estimates (C </w:t>
      </w:r>
      <w:r>
        <w:rPr>
          <w:rFonts w:ascii="Times New Roman" w:hAnsi="Times New Roman" w:eastAsia="Times New Roman"/>
          <w:i/>
          <w:sz w:val="24"/>
        </w:rPr>
        <w:t>r</w:t>
      </w:r>
      <w:r>
        <w:rPr>
          <w:rFonts w:ascii="Times New Roman" w:hAnsi="Times New Roman" w:eastAsia="Times New Roman"/>
          <w:sz w:val="24"/>
        </w:rPr>
        <w:t xml:space="preserve"> = .206; O </w:t>
      </w:r>
      <w:r>
        <w:rPr>
          <w:rFonts w:ascii="Times New Roman" w:hAnsi="Times New Roman" w:eastAsia="Times New Roman"/>
          <w:i/>
          <w:sz w:val="24"/>
        </w:rPr>
        <w:t>r</w:t>
      </w:r>
      <w:r>
        <w:rPr>
          <w:rFonts w:ascii="Times New Roman" w:hAnsi="Times New Roman" w:eastAsia="Times New Roman"/>
          <w:sz w:val="24"/>
        </w:rPr>
        <w:t xml:space="preserve"> = .081; A </w:t>
      </w:r>
      <w:r>
        <w:rPr>
          <w:rFonts w:ascii="Times New Roman" w:hAnsi="Times New Roman" w:eastAsia="Times New Roman"/>
          <w:i/>
          <w:sz w:val="24"/>
        </w:rPr>
        <w:t>r</w:t>
      </w:r>
      <w:r>
        <w:rPr>
          <w:rFonts w:ascii="Times New Roman" w:hAnsi="Times New Roman" w:eastAsia="Times New Roman"/>
          <w:sz w:val="24"/>
        </w:rPr>
        <w:t xml:space="preserve"> = .082; E </w:t>
      </w:r>
      <w:r>
        <w:rPr>
          <w:rFonts w:ascii="Times New Roman" w:hAnsi="Times New Roman" w:eastAsia="Times New Roman"/>
          <w:i/>
          <w:sz w:val="24"/>
        </w:rPr>
        <w:t>r</w:t>
      </w:r>
      <w:r>
        <w:rPr>
          <w:rFonts w:ascii="Times New Roman" w:hAnsi="Times New Roman" w:eastAsia="Times New Roman"/>
          <w:sz w:val="24"/>
        </w:rPr>
        <w:t xml:space="preserve"> = −.009;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r</w:t>
      </w:r>
      <w:r>
        <w:rPr>
          <w:rFonts w:ascii="Times New Roman" w:hAnsi="Times New Roman" w:eastAsia="Times New Roman"/>
          <w:sz w:val="24"/>
        </w:rPr>
        <w:t xml:space="preserve">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w:t>
      </w:r>
      <w:r>
        <w:rPr>
          <w:rFonts w:ascii="Times New Roman" w:hAnsi="Times New Roman" w:eastAsia="Times New Roman"/>
          <w:i/>
          <w:sz w:val="24"/>
        </w:rPr>
        <w:t>ρ</w:t>
      </w:r>
      <w:r>
        <w:rPr>
          <w:rFonts w:ascii="Times New Roman" w:hAnsi="Times New Roman" w:eastAsia="Times New Roman"/>
          <w:sz w:val="24"/>
        </w:rPr>
        <w:t xml:space="preserve"> = .19 to .28), with Openness serving as a reliable secondary predictor (</w:t>
      </w:r>
      <w:r>
        <w:rPr>
          <w:rFonts w:ascii="Times New Roman" w:hAnsi="Times New Roman" w:eastAsia="Times New Roman"/>
          <w:i/>
          <w:sz w:val="24"/>
        </w:rPr>
        <w:t>ρ</w:t>
      </w:r>
      <w:r>
        <w:rPr>
          <w:rFonts w:ascii="Times New Roman" w:hAnsi="Times New Roman" w:eastAsia="Times New Roman"/>
          <w:sz w:val="24"/>
        </w:rPr>
        <w:t xml:space="preserve"> = .07 to .21). Agreeableness exhibits small positive effects (</w:t>
      </w:r>
      <w:r>
        <w:rPr>
          <w:rFonts w:ascii="Times New Roman" w:hAnsi="Times New Roman" w:eastAsia="Times New Roman"/>
          <w:i/>
          <w:sz w:val="24"/>
        </w:rPr>
        <w:t>ρ</w:t>
      </w:r>
      <w:r>
        <w:rPr>
          <w:rFonts w:ascii="Times New Roman" w:hAnsi="Times New Roman" w:eastAsia="Times New Roman"/>
          <w:sz w:val="24"/>
        </w:rPr>
        <w:t xml:space="preserve">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Chang, Quilantan-Garza, &amp; Gutierrez,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 xml:space="preserve">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w:t>
      </w:r>
      <w:r>
        <w:rPr>
          <w:rFonts w:ascii="Times New Roman" w:hAnsi="Times New Roman" w:eastAsia="Times New Roman"/>
          <w:i/>
          <w:sz w:val="24"/>
        </w:rPr>
        <w:t>ρ</w:t>
      </w:r>
      <w:r>
        <w:rPr>
          <w:rFonts w:ascii="Times New Roman" w:hAnsi="Times New Roman" w:eastAsia="Times New Roman"/>
          <w:sz w:val="24"/>
        </w:rPr>
        <w:t xml:space="preserve">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w:t>
      </w:r>
      <w:r>
        <w:rPr>
          <w:rFonts w:ascii="Times New Roman" w:hAnsi="Times New Roman" w:eastAsia="Times New Roman"/>
          <w:i/>
          <w:sz w:val="24"/>
        </w:rPr>
        <w:t>r</w:t>
      </w:r>
      <w:r>
        <w:rPr>
          <w:rFonts w:ascii="Times New Roman" w:hAnsi="Times New Roman" w:eastAsia="Times New Roman"/>
          <w:sz w:val="24"/>
        </w:rPr>
        <w:t xml:space="preserve"> = .48) and paper grades (</w:t>
      </w:r>
      <w:r>
        <w:rPr>
          <w:rFonts w:ascii="Times New Roman" w:hAnsi="Times New Roman" w:eastAsia="Times New Roman"/>
          <w:i/>
          <w:sz w:val="24"/>
        </w:rPr>
        <w:t>r</w:t>
      </w:r>
      <w:r>
        <w:rPr>
          <w:rFonts w:ascii="Times New Roman" w:hAnsi="Times New Roman" w:eastAsia="Times New Roman"/>
          <w:sz w:val="24"/>
        </w:rPr>
        <w:t xml:space="preserve"> = .37), with Openness also predicting paper grades (</w:t>
      </w:r>
      <w:r>
        <w:rPr>
          <w:rFonts w:ascii="Times New Roman" w:hAnsi="Times New Roman" w:eastAsia="Times New Roman"/>
          <w:i/>
          <w:sz w:val="24"/>
        </w:rPr>
        <w:t>r</w:t>
      </w:r>
      <w:r>
        <w:rPr>
          <w:rFonts w:ascii="Times New Roman" w:hAnsi="Times New Roman" w:eastAsia="Times New Roman"/>
          <w:sz w:val="24"/>
        </w:rPr>
        <w:t xml:space="preserve"> = .35). Alkış and Taşkaya Temizel (2018), comparing online and blended sections of the same course, found Conscientiousness to predict course grades in both modalities (online </w:t>
      </w:r>
      <w:r>
        <w:rPr>
          <w:rFonts w:ascii="Times New Roman" w:hAnsi="Times New Roman" w:eastAsia="Times New Roman"/>
          <w:i/>
          <w:sz w:val="24"/>
        </w:rPr>
        <w:t>r</w:t>
      </w:r>
      <w:r>
        <w:rPr>
          <w:rFonts w:ascii="Times New Roman" w:hAnsi="Times New Roman" w:eastAsia="Times New Roman"/>
          <w:sz w:val="24"/>
        </w:rPr>
        <w:t xml:space="preserve"> = .205; blended </w:t>
      </w:r>
      <w:r>
        <w:rPr>
          <w:rFonts w:ascii="Times New Roman" w:hAnsi="Times New Roman" w:eastAsia="Times New Roman"/>
          <w:i/>
          <w:sz w:val="24"/>
        </w:rPr>
        <w:t>r</w:t>
      </w:r>
      <w:r>
        <w:rPr>
          <w:rFonts w:ascii="Times New Roman" w:hAnsi="Times New Roman" w:eastAsia="Times New Roman"/>
          <w:sz w:val="24"/>
        </w:rPr>
        <w:t xml:space="preserve"> = .244), with other traits exhibiting only null effects. In the COVID-era German higher education context, Rodrigues, Rose, and Hewig (2024) reported a moderate negative correlation between Conscientiousness and self-reported GPA (</w:t>
      </w:r>
      <w:r>
        <w:rPr>
          <w:rFonts w:ascii="Times New Roman" w:hAnsi="Times New Roman" w:eastAsia="Times New Roman"/>
          <w:i/>
          <w:sz w:val="24"/>
        </w:rPr>
        <w:t>r</w:t>
      </w:r>
      <w:r>
        <w:rPr>
          <w:rFonts w:ascii="Times New Roman" w:hAnsi="Times New Roman" w:eastAsia="Times New Roman"/>
          <w:sz w:val="24"/>
        </w:rPr>
        <w:t xml:space="preserve"> = −.228 with grades coded such that lower values indicate better performance), and significant negative associations between Neuroticism and study satisfaction and well-being. Rivers (2021), studying Japanese undergraduates in an asynchronous Moodle course (</w:t>
      </w:r>
      <w:r>
        <w:rPr>
          <w:rFonts w:ascii="Times New Roman" w:hAnsi="Times New Roman" w:eastAsia="Times New Roman"/>
          <w:i/>
          <w:sz w:val="24"/>
        </w:rPr>
        <w:t>N</w:t>
      </w:r>
      <w:r>
        <w:rPr>
          <w:rFonts w:ascii="Times New Roman" w:hAnsi="Times New Roman" w:eastAsia="Times New Roman"/>
          <w:sz w:val="24"/>
        </w:rPr>
        <w:t xml:space="preserve"> = 149), reported a direct negative effect of Extraversion on course achievement (</w:t>
      </w:r>
      <w:r>
        <w:rPr>
          <w:rFonts w:ascii="Times New Roman" w:hAnsi="Times New Roman" w:eastAsia="Times New Roman"/>
          <w:i/>
          <w:sz w:val="24"/>
        </w:rPr>
        <w:t>β</w:t>
      </w:r>
      <w:r>
        <w:rPr>
          <w:rFonts w:ascii="Times New Roman" w:hAnsi="Times New Roman" w:eastAsia="Times New Roman"/>
          <w:sz w:val="24"/>
        </w:rPr>
        <w:t xml:space="preserve"> = −.168, </w:t>
      </w:r>
      <w:r>
        <w:rPr>
          <w:rFonts w:ascii="Times New Roman" w:hAnsi="Times New Roman" w:eastAsia="Times New Roman"/>
          <w:i/>
          <w:sz w:val="24"/>
        </w:rPr>
        <w:t>p</w:t>
      </w:r>
      <w:r>
        <w:rPr>
          <w:rFonts w:ascii="Times New Roman" w:hAnsi="Times New Roman" w:eastAsia="Times New Roman"/>
          <w:sz w:val="24"/>
        </w:rPr>
        <w:t xml:space="preserve">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 xml:space="preserve">Other primary studies reveal patterns that diverge from conventional face-to-face findings. In a large Chinese K-12 sample studied by Wang, Wang, and Li (2023; </w:t>
      </w:r>
      <w:r>
        <w:rPr>
          <w:rFonts w:ascii="Times New Roman" w:hAnsi="Times New Roman" w:eastAsia="Times New Roman"/>
          <w:i/>
          <w:sz w:val="24"/>
        </w:rPr>
        <w:t>N</w:t>
      </w:r>
      <w:r>
        <w:rPr>
          <w:rFonts w:ascii="Times New Roman" w:hAnsi="Times New Roman" w:eastAsia="Times New Roman"/>
          <w:sz w:val="24"/>
        </w:rPr>
        <w:t xml:space="preserve"> = 1,625), Big Five traits were associated with academic achievement only indirectly through online learning engagement, with Conscientiousness (</w:t>
      </w:r>
      <w:r>
        <w:rPr>
          <w:rFonts w:ascii="Times New Roman" w:hAnsi="Times New Roman" w:eastAsia="Times New Roman"/>
          <w:i/>
          <w:sz w:val="24"/>
        </w:rPr>
        <w:t>β</w:t>
      </w:r>
      <w:r>
        <w:rPr>
          <w:rFonts w:ascii="Times New Roman" w:hAnsi="Times New Roman" w:eastAsia="Times New Roman"/>
          <w:sz w:val="24"/>
        </w:rPr>
        <w:t xml:space="preserve"> = .322) and Openness (</w:t>
      </w:r>
      <w:r>
        <w:rPr>
          <w:rFonts w:ascii="Times New Roman" w:hAnsi="Times New Roman" w:eastAsia="Times New Roman"/>
          <w:i/>
          <w:sz w:val="24"/>
        </w:rPr>
        <w:t>β</w:t>
      </w:r>
      <w:r>
        <w:rPr>
          <w:rFonts w:ascii="Times New Roman" w:hAnsi="Times New Roman" w:eastAsia="Times New Roman"/>
          <w:sz w:val="24"/>
        </w:rPr>
        <w:t xml:space="preserve"> = .253) serving as the strongest predictors of engagement. Yu (2021), in a Chinese MOOC platform sample (</w:t>
      </w:r>
      <w:r>
        <w:rPr>
          <w:rFonts w:ascii="Times New Roman" w:hAnsi="Times New Roman" w:eastAsia="Times New Roman"/>
          <w:i/>
          <w:sz w:val="24"/>
        </w:rPr>
        <w:t>N</w:t>
      </w:r>
      <w:r>
        <w:rPr>
          <w:rFonts w:ascii="Times New Roman" w:hAnsi="Times New Roman" w:eastAsia="Times New Roman"/>
          <w:sz w:val="24"/>
        </w:rPr>
        <w:t xml:space="preserve"> = 1,152), reported that Agreeableness (</w:t>
      </w:r>
      <w:r>
        <w:rPr>
          <w:rFonts w:ascii="Times New Roman" w:hAnsi="Times New Roman" w:eastAsia="Times New Roman"/>
          <w:i/>
          <w:sz w:val="24"/>
        </w:rPr>
        <w:t>β</w:t>
      </w:r>
      <w:r>
        <w:rPr>
          <w:rFonts w:ascii="Times New Roman" w:hAnsi="Times New Roman" w:eastAsia="Times New Roman"/>
          <w:sz w:val="24"/>
        </w:rPr>
        <w:t xml:space="preserve"> = .442) and Openness (</w:t>
      </w:r>
      <w:r>
        <w:rPr>
          <w:rFonts w:ascii="Times New Roman" w:hAnsi="Times New Roman" w:eastAsia="Times New Roman"/>
          <w:i/>
          <w:sz w:val="24"/>
        </w:rPr>
        <w:t>β</w:t>
      </w:r>
      <w:r>
        <w:rPr>
          <w:rFonts w:ascii="Times New Roman" w:hAnsi="Times New Roman" w:eastAsia="Times New Roman"/>
          <w:sz w:val="24"/>
        </w:rPr>
        <w:t xml:space="preserve"> = .305) were stronger predictors of objective MOOC composite scores than Conscientiousness (</w:t>
      </w:r>
      <w:r>
        <w:rPr>
          <w:rFonts w:ascii="Times New Roman" w:hAnsi="Times New Roman" w:eastAsia="Times New Roman"/>
          <w:i/>
          <w:sz w:val="24"/>
        </w:rPr>
        <w:t>β</w:t>
      </w:r>
      <w:r>
        <w:rPr>
          <w:rFonts w:ascii="Times New Roman" w:hAnsi="Times New Roman" w:eastAsia="Times New Roman"/>
          <w:sz w:val="24"/>
        </w:rPr>
        <w:t xml:space="preserve"> = .057), suggesting that cooperative behaviors and novelty orientation may be especially salient in Chinese collectivistic contexts (cf. Mammadov, 2022; Chen et al., 2025). Bahçekapılı and Karaman (2020), in a Turkish distance-education context (</w:t>
      </w:r>
      <w:r>
        <w:rPr>
          <w:rFonts w:ascii="Times New Roman" w:hAnsi="Times New Roman" w:eastAsia="Times New Roman"/>
          <w:i/>
          <w:sz w:val="24"/>
        </w:rPr>
        <w:t>N</w:t>
      </w:r>
      <w:r>
        <w:rPr>
          <w:rFonts w:ascii="Times New Roman" w:hAnsi="Times New Roman" w:eastAsia="Times New Roman"/>
          <w:sz w:val="24"/>
        </w:rPr>
        <w:t xml:space="preserve">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 xml:space="preserve">Five directional hypotheses, pre-specified in the OSF registration (https://osf.io/e5w47/), are evaluated. Hypothesis 1 (H1) states that Conscientiousness will show the strongest positive pooled correlation with academic achievement in online learning environments, with an expected pooled </w:t>
      </w:r>
      <w:r>
        <w:rPr>
          <w:rFonts w:ascii="Times New Roman" w:hAnsi="Times New Roman" w:eastAsia="Times New Roman"/>
          <w:i/>
          <w:sz w:val="24"/>
        </w:rPr>
        <w:t>ρ</w:t>
      </w:r>
      <w:r>
        <w:rPr>
          <w:rFonts w:ascii="Times New Roman" w:hAnsi="Times New Roman" w:eastAsia="Times New Roman"/>
          <w:sz w:val="24"/>
        </w:rPr>
        <w:t xml:space="preserve">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2022;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 xml:space="preserve">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w:t>
      </w:r>
      <w:r>
        <w:rPr>
          <w:rFonts w:ascii="Times New Roman" w:hAnsi="Times New Roman" w:eastAsia="Times New Roman"/>
          <w:i/>
          <w:sz w:val="24"/>
        </w:rPr>
        <w:t>N</w:t>
      </w:r>
      <w:r>
        <w:rPr>
          <w:rFonts w:ascii="Times New Roman" w:hAnsi="Times New Roman" w:eastAsia="Times New Roman"/>
          <w:sz w:val="24"/>
        </w:rPr>
        <w:t xml:space="preserve">, age mean and </w:t>
      </w:r>
      <w:r>
        <w:rPr>
          <w:rFonts w:ascii="Times New Roman" w:hAnsi="Times New Roman" w:eastAsia="Times New Roman"/>
          <w:i/>
          <w:sz w:val="24"/>
        </w:rPr>
        <w:t>SD</w:t>
      </w:r>
      <w:r>
        <w:rPr>
          <w:rFonts w:ascii="Times New Roman" w:hAnsi="Times New Roman" w:eastAsia="Times New Roman"/>
          <w:sz w:val="24"/>
        </w:rPr>
        <w:t xml:space="preserve">,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w:t>
      </w:r>
      <w:r>
        <w:rPr>
          <w:rFonts w:ascii="Times New Roman" w:hAnsi="Times New Roman" w:eastAsia="Times New Roman"/>
          <w:i/>
          <w:sz w:val="24"/>
        </w:rPr>
        <w:t>r</w:t>
      </w:r>
      <w:r>
        <w:rPr>
          <w:rFonts w:ascii="Times New Roman" w:hAnsi="Times New Roman" w:eastAsia="Times New Roman"/>
          <w:sz w:val="24"/>
        </w:rPr>
        <w:t xml:space="preserve">, standardized </w:t>
      </w:r>
      <w:r>
        <w:rPr>
          <w:rFonts w:ascii="Times New Roman" w:hAnsi="Times New Roman" w:eastAsia="Times New Roman"/>
          <w:i/>
          <w:sz w:val="24"/>
        </w:rPr>
        <w:t>β</w:t>
      </w:r>
      <w:r>
        <w:rPr>
          <w:rFonts w:ascii="Times New Roman" w:hAnsi="Times New Roman" w:eastAsia="Times New Roman"/>
          <w:sz w:val="24"/>
        </w:rPr>
        <w:t xml:space="preserve">, Cohen's d, η², </w:t>
      </w:r>
      <w:r>
        <w:rPr>
          <w:rFonts w:ascii="Times New Roman" w:hAnsi="Times New Roman" w:eastAsia="Times New Roman"/>
          <w:i/>
          <w:sz w:val="24"/>
        </w:rPr>
        <w:t>t</w:t>
      </w:r>
      <w:r>
        <w:rPr>
          <w:rFonts w:ascii="Times New Roman" w:hAnsi="Times New Roman" w:eastAsia="Times New Roman"/>
          <w:sz w:val="24"/>
        </w:rPr>
        <w:t xml:space="preserve">, or </w:t>
      </w:r>
      <w:r>
        <w:rPr>
          <w:rFonts w:ascii="Times New Roman" w:hAnsi="Times New Roman" w:eastAsia="Times New Roman"/>
          <w:i/>
          <w:sz w:val="24"/>
        </w:rPr>
        <w:t>F</w:t>
      </w:r>
      <w:r>
        <w:rPr>
          <w:rFonts w:ascii="Times New Roman" w:hAnsi="Times New Roman" w:eastAsia="Times New Roman"/>
          <w:sz w:val="24"/>
        </w:rPr>
        <w:t>,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w:t>
      </w:r>
      <w:r>
        <w:rPr>
          <w:rFonts w:ascii="Times New Roman" w:hAnsi="Times New Roman" w:eastAsia="Times New Roman"/>
          <w:i/>
          <w:sz w:val="24"/>
        </w:rPr>
        <w:t>r</w:t>
      </w:r>
      <w:r>
        <w:rPr>
          <w:rFonts w:ascii="Times New Roman" w:hAnsi="Times New Roman" w:eastAsia="Times New Roman"/>
          <w:sz w:val="24"/>
        </w:rPr>
        <w:t xml:space="preserve">) between each Big Five trait score and the academic achievement outcome. Prior to pooling, every extracted </w:t>
      </w:r>
      <w:r>
        <w:rPr>
          <w:rFonts w:ascii="Times New Roman" w:hAnsi="Times New Roman" w:eastAsia="Times New Roman"/>
          <w:i/>
          <w:sz w:val="24"/>
        </w:rPr>
        <w:t>r</w:t>
      </w:r>
      <w:r>
        <w:rPr>
          <w:rFonts w:ascii="Times New Roman" w:hAnsi="Times New Roman" w:eastAsia="Times New Roman"/>
          <w:sz w:val="24"/>
        </w:rPr>
        <w:t xml:space="preserve"> was transformed to Fisher's </w:t>
      </w:r>
      <w:r>
        <w:rPr>
          <w:rFonts w:ascii="Times New Roman" w:hAnsi="Times New Roman" w:eastAsia="Times New Roman"/>
          <w:i/>
          <w:sz w:val="24"/>
        </w:rPr>
        <w:t>z</w:t>
      </w:r>
      <w:r>
        <w:rPr>
          <w:rFonts w:ascii="Times New Roman" w:hAnsi="Times New Roman" w:eastAsia="Times New Roman"/>
          <w:sz w:val="24"/>
        </w:rPr>
        <w:t xml:space="preserve"> (Borenstein et al., 2009) using the formula </w:t>
      </w:r>
      <w:r>
        <w:rPr>
          <w:rFonts w:ascii="Times New Roman" w:hAnsi="Times New Roman" w:eastAsia="Times New Roman"/>
          <w:i/>
          <w:sz w:val="24"/>
        </w:rPr>
        <w:t>z</w:t>
      </w:r>
      <w:r>
        <w:rPr>
          <w:rFonts w:ascii="Times New Roman" w:hAnsi="Times New Roman" w:eastAsia="Times New Roman"/>
          <w:sz w:val="24"/>
        </w:rPr>
        <w:t xml:space="preserve"> = 0.5 × ln[(1 + </w:t>
      </w:r>
      <w:r>
        <w:rPr>
          <w:rFonts w:ascii="Times New Roman" w:hAnsi="Times New Roman" w:eastAsia="Times New Roman"/>
          <w:i/>
          <w:sz w:val="24"/>
        </w:rPr>
        <w:t>r</w:t>
      </w:r>
      <w:r>
        <w:rPr>
          <w:rFonts w:ascii="Times New Roman" w:hAnsi="Times New Roman" w:eastAsia="Times New Roman"/>
          <w:sz w:val="24"/>
        </w:rPr>
        <w:t xml:space="preserve">) / (1 − </w:t>
      </w:r>
      <w:r>
        <w:rPr>
          <w:rFonts w:ascii="Times New Roman" w:hAnsi="Times New Roman" w:eastAsia="Times New Roman"/>
          <w:i/>
          <w:sz w:val="24"/>
        </w:rPr>
        <w:t>r</w:t>
      </w:r>
      <w:r>
        <w:rPr>
          <w:rFonts w:ascii="Times New Roman" w:hAnsi="Times New Roman" w:eastAsia="Times New Roman"/>
          <w:sz w:val="24"/>
        </w:rPr>
        <w:t>)], with sampling variance Var(</w:t>
      </w:r>
      <w:r>
        <w:rPr>
          <w:rFonts w:ascii="Times New Roman" w:hAnsi="Times New Roman" w:eastAsia="Times New Roman"/>
          <w:i/>
          <w:sz w:val="24"/>
        </w:rPr>
        <w:t>z</w:t>
      </w:r>
      <w:r>
        <w:rPr>
          <w:rFonts w:ascii="Times New Roman" w:hAnsi="Times New Roman" w:eastAsia="Times New Roman"/>
          <w:sz w:val="24"/>
        </w:rPr>
        <w:t>) = 1 / (</w:t>
      </w:r>
      <w:r>
        <w:rPr>
          <w:rFonts w:ascii="Times New Roman" w:hAnsi="Times New Roman" w:eastAsia="Times New Roman"/>
          <w:i/>
          <w:sz w:val="24"/>
        </w:rPr>
        <w:t>N</w:t>
      </w:r>
      <w:r>
        <w:rPr>
          <w:rFonts w:ascii="Times New Roman" w:hAnsi="Times New Roman" w:eastAsia="Times New Roman"/>
          <w:sz w:val="24"/>
        </w:rPr>
        <w:t xml:space="preserve"> − 3), where </w:t>
      </w:r>
      <w:r>
        <w:rPr>
          <w:rFonts w:ascii="Times New Roman" w:hAnsi="Times New Roman" w:eastAsia="Times New Roman"/>
          <w:i/>
          <w:sz w:val="24"/>
        </w:rPr>
        <w:t>N</w:t>
      </w:r>
      <w:r>
        <w:rPr>
          <w:rFonts w:ascii="Times New Roman" w:hAnsi="Times New Roman" w:eastAsia="Times New Roman"/>
          <w:sz w:val="24"/>
        </w:rPr>
        <w:t xml:space="preserve"> is the analytic sample size for that effect size. Pooled z-values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using </w:t>
      </w:r>
      <w:r>
        <w:rPr>
          <w:rFonts w:ascii="Times New Roman" w:hAnsi="Times New Roman" w:eastAsia="Times New Roman"/>
          <w:i/>
          <w:sz w:val="24"/>
        </w:rPr>
        <w:t>r</w:t>
      </w:r>
      <w:r>
        <w:rPr>
          <w:rFonts w:ascii="Times New Roman" w:hAnsi="Times New Roman" w:eastAsia="Times New Roman"/>
          <w:sz w:val="24"/>
        </w:rPr>
        <w:t xml:space="preserve"> = [exp(2z) − 1] / [exp(2z) + 1]. All pooling, moderator regression, and confidence-interval construction were performed on the Fisher </w:t>
      </w:r>
      <w:r>
        <w:rPr>
          <w:rFonts w:ascii="Times New Roman" w:hAnsi="Times New Roman" w:eastAsia="Times New Roman"/>
          <w:i/>
          <w:sz w:val="24"/>
        </w:rPr>
        <w:t>z</w:t>
      </w:r>
      <w:r>
        <w:rPr>
          <w:rFonts w:ascii="Times New Roman" w:hAnsi="Times New Roman" w:eastAsia="Times New Roman"/>
          <w:sz w:val="24"/>
        </w:rPr>
        <w:t xml:space="preserve"> scale, whereas point estimates and credibility intervals were reported on the </w:t>
      </w:r>
      <w:r>
        <w:rPr>
          <w:rFonts w:ascii="Times New Roman" w:hAnsi="Times New Roman" w:eastAsia="Times New Roman"/>
          <w:i/>
          <w:sz w:val="24"/>
        </w:rPr>
        <w:t>r</w:t>
      </w:r>
      <w:r>
        <w:rPr>
          <w:rFonts w:ascii="Times New Roman" w:hAnsi="Times New Roman" w:eastAsia="Times New Roman"/>
          <w:sz w:val="24"/>
        </w:rPr>
        <w:t xml:space="preserve"> scale for interpretability.</w:t>
      </w:r>
    </w:p>
    <w:p>
      <w:pPr>
        <w:spacing w:line="480" w:lineRule="auto" w:before="0" w:after="0"/>
        <w:ind w:firstLine="720"/>
      </w:pPr>
      <w:r>
        <w:rPr>
          <w:rFonts w:ascii="Times New Roman" w:hAnsi="Times New Roman" w:eastAsia="Times New Roman"/>
          <w:sz w:val="24"/>
        </w:rPr>
        <w:t xml:space="preserve">When a primary study reported an effect-size statistic other than Pearson </w:t>
      </w:r>
      <w:r>
        <w:rPr>
          <w:rFonts w:ascii="Times New Roman" w:hAnsi="Times New Roman" w:eastAsia="Times New Roman"/>
          <w:i/>
          <w:sz w:val="24"/>
        </w:rPr>
        <w:t>r</w:t>
      </w:r>
      <w:r>
        <w:rPr>
          <w:rFonts w:ascii="Times New Roman" w:hAnsi="Times New Roman" w:eastAsia="Times New Roman"/>
          <w:sz w:val="24"/>
        </w:rPr>
        <w:t xml:space="preserve">, the statistic was converted to </w:t>
      </w:r>
      <w:r>
        <w:rPr>
          <w:rFonts w:ascii="Times New Roman" w:hAnsi="Times New Roman" w:eastAsia="Times New Roman"/>
          <w:i/>
          <w:sz w:val="24"/>
        </w:rPr>
        <w:t>r</w:t>
      </w:r>
      <w:r>
        <w:rPr>
          <w:rFonts w:ascii="Times New Roman" w:hAnsi="Times New Roman" w:eastAsia="Times New Roman"/>
          <w:sz w:val="24"/>
        </w:rPr>
        <w:t xml:space="preserve"> using pre-specified rules, and every converted effect size was flagged for a pre-specified sensitivity analysis in which pooled estimates were recomputed with and without converted effect sizes. Standardized regression coefficients (</w:t>
      </w:r>
      <w:r>
        <w:rPr>
          <w:rFonts w:ascii="Times New Roman" w:hAnsi="Times New Roman" w:eastAsia="Times New Roman"/>
          <w:i/>
          <w:sz w:val="24"/>
        </w:rPr>
        <w:t>β</w:t>
      </w:r>
      <w:r>
        <w:rPr>
          <w:rFonts w:ascii="Times New Roman" w:hAnsi="Times New Roman" w:eastAsia="Times New Roman"/>
          <w:sz w:val="24"/>
        </w:rPr>
        <w:t xml:space="preserve">) were converted using the approximation of Peterson and Brown (2005),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β</w:t>
      </w:r>
      <w:r>
        <w:rPr>
          <w:rFonts w:ascii="Times New Roman" w:hAnsi="Times New Roman" w:eastAsia="Times New Roman"/>
          <w:sz w:val="24"/>
        </w:rPr>
        <w:t xml:space="preserve"> + 0.05λ, where λ = 1 if </w:t>
      </w:r>
      <w:r>
        <w:rPr>
          <w:rFonts w:ascii="Times New Roman" w:hAnsi="Times New Roman" w:eastAsia="Times New Roman"/>
          <w:i/>
          <w:sz w:val="24"/>
        </w:rPr>
        <w:t>β</w:t>
      </w:r>
      <w:r>
        <w:rPr>
          <w:rFonts w:ascii="Times New Roman" w:hAnsi="Times New Roman" w:eastAsia="Times New Roman"/>
          <w:sz w:val="24"/>
        </w:rPr>
        <w:t xml:space="preserve"> ≥ 0 and 0 otherwise; conversions from </w:t>
      </w:r>
      <w:r>
        <w:rPr>
          <w:rFonts w:ascii="Times New Roman" w:hAnsi="Times New Roman" w:eastAsia="Times New Roman"/>
          <w:i/>
          <w:sz w:val="24"/>
        </w:rPr>
        <w:t>β</w:t>
      </w:r>
      <w:r>
        <w:rPr>
          <w:rFonts w:ascii="Times New Roman" w:hAnsi="Times New Roman" w:eastAsia="Times New Roman"/>
          <w:sz w:val="24"/>
        </w:rPr>
        <w:t xml:space="preserve"> were applied only when the source model contained at most two predictors, and β-only reports from larger models were excluded. Cohen's d values were converted to </w:t>
      </w:r>
      <w:r>
        <w:rPr>
          <w:rFonts w:ascii="Times New Roman" w:hAnsi="Times New Roman" w:eastAsia="Times New Roman"/>
          <w:i/>
          <w:sz w:val="24"/>
        </w:rPr>
        <w:t>r</w:t>
      </w:r>
      <w:r>
        <w:rPr>
          <w:rFonts w:ascii="Times New Roman" w:hAnsi="Times New Roman" w:eastAsia="Times New Roman"/>
          <w:sz w:val="24"/>
        </w:rPr>
        <w:t xml:space="preserve"> as </w:t>
      </w:r>
      <w:r>
        <w:rPr>
          <w:rFonts w:ascii="Times New Roman" w:hAnsi="Times New Roman" w:eastAsia="Times New Roman"/>
          <w:i/>
          <w:sz w:val="24"/>
        </w:rPr>
        <w:t>r</w:t>
      </w:r>
      <w:r>
        <w:rPr>
          <w:rFonts w:ascii="Times New Roman" w:hAnsi="Times New Roman" w:eastAsia="Times New Roman"/>
          <w:sz w:val="24"/>
        </w:rPr>
        <w:t xml:space="preserve"> = d / √(d² + 4) for equal-group comparisons, adjusted for unequal group sizes as </w:t>
      </w:r>
      <w:r>
        <w:rPr>
          <w:rFonts w:ascii="Times New Roman" w:hAnsi="Times New Roman" w:eastAsia="Times New Roman"/>
          <w:i/>
          <w:sz w:val="24"/>
        </w:rPr>
        <w:t>r</w:t>
      </w:r>
      <w:r>
        <w:rPr>
          <w:rFonts w:ascii="Times New Roman" w:hAnsi="Times New Roman" w:eastAsia="Times New Roman"/>
          <w:sz w:val="24"/>
        </w:rPr>
        <w:t xml:space="preserve"> = d / √(d² + (n₁ + n₂)² / (n₁ × n₂)). Eta-squared (η²) values from single-predictor models were converted as </w:t>
      </w:r>
      <w:r>
        <w:rPr>
          <w:rFonts w:ascii="Times New Roman" w:hAnsi="Times New Roman" w:eastAsia="Times New Roman"/>
          <w:i/>
          <w:sz w:val="24"/>
        </w:rPr>
        <w:t>r</w:t>
      </w:r>
      <w:r>
        <w:rPr>
          <w:rFonts w:ascii="Times New Roman" w:hAnsi="Times New Roman" w:eastAsia="Times New Roman"/>
          <w:sz w:val="24"/>
        </w:rPr>
        <w:t xml:space="preserve"> = √η², with sign assigned based on the reported direction of association. </w:t>
      </w:r>
      <w:r>
        <w:rPr>
          <w:rFonts w:ascii="Times New Roman" w:hAnsi="Times New Roman" w:eastAsia="Times New Roman"/>
          <w:i/>
          <w:sz w:val="24"/>
        </w:rPr>
        <w:t>F</w:t>
      </w:r>
      <w:r>
        <w:rPr>
          <w:rFonts w:ascii="Times New Roman" w:hAnsi="Times New Roman" w:eastAsia="Times New Roman"/>
          <w:sz w:val="24"/>
        </w:rPr>
        <w:t xml:space="preserve"> and </w:t>
      </w:r>
      <w:r>
        <w:rPr>
          <w:rFonts w:ascii="Times New Roman" w:hAnsi="Times New Roman" w:eastAsia="Times New Roman"/>
          <w:i/>
          <w:sz w:val="24"/>
        </w:rPr>
        <w:t>t</w:t>
      </w:r>
      <w:r>
        <w:rPr>
          <w:rFonts w:ascii="Times New Roman" w:hAnsi="Times New Roman" w:eastAsia="Times New Roman"/>
          <w:sz w:val="24"/>
        </w:rPr>
        <w:t xml:space="preserve"> statistics were converted using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df_error)) and </w:t>
      </w:r>
      <w:r>
        <w:rPr>
          <w:rFonts w:ascii="Times New Roman" w:hAnsi="Times New Roman" w:eastAsia="Times New Roman"/>
          <w:i/>
          <w:sz w:val="24"/>
        </w:rPr>
        <w:t>r</w:t>
      </w:r>
      <w:r>
        <w:rPr>
          <w:rFonts w:ascii="Times New Roman" w:hAnsi="Times New Roman" w:eastAsia="Times New Roman"/>
          <w:sz w:val="24"/>
        </w:rPr>
        <w:t xml:space="preserve"> = √(t² / (t² + </w:t>
      </w:r>
      <w:r>
        <w:rPr>
          <w:rFonts w:ascii="Times New Roman" w:hAnsi="Times New Roman" w:eastAsia="Times New Roman"/>
          <w:i/>
          <w:sz w:val="24"/>
        </w:rPr>
        <w:t>df</w:t>
      </w:r>
      <w:r>
        <w:rPr>
          <w:rFonts w:ascii="Times New Roman" w:hAnsi="Times New Roman" w:eastAsia="Times New Roman"/>
          <w:sz w:val="24"/>
        </w:rPr>
        <w:t>)),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w:t>
      </w:r>
      <w:r>
        <w:rPr>
          <w:rFonts w:ascii="Times New Roman" w:hAnsi="Times New Roman" w:eastAsia="Times New Roman"/>
          <w:i/>
          <w:sz w:val="24"/>
        </w:rPr>
        <w:t>τ²</w:t>
      </w:r>
      <w:r>
        <w:rPr>
          <w:rFonts w:ascii="Times New Roman" w:hAnsi="Times New Roman" w:eastAsia="Times New Roman"/>
          <w:sz w:val="24"/>
        </w:rPr>
        <w:t xml:space="preserve">)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w:t>
      </w:r>
      <w:r>
        <w:rPr>
          <w:rFonts w:ascii="Times New Roman" w:hAnsi="Times New Roman" w:eastAsia="Times New Roman"/>
          <w:i/>
          <w:sz w:val="24"/>
        </w:rPr>
        <w:t>Q</w:t>
      </w:r>
      <w:r>
        <w:rPr>
          <w:rFonts w:ascii="Times New Roman" w:hAnsi="Times New Roman" w:eastAsia="Times New Roman"/>
          <w:sz w:val="24"/>
        </w:rPr>
        <w:t xml:space="preserve">, the </w:t>
      </w:r>
      <w:r>
        <w:rPr>
          <w:rFonts w:ascii="Times New Roman" w:hAnsi="Times New Roman" w:eastAsia="Times New Roman"/>
          <w:i/>
          <w:sz w:val="24"/>
        </w:rPr>
        <w:t>I²</w:t>
      </w:r>
      <w:r>
        <w:rPr>
          <w:rFonts w:ascii="Times New Roman" w:hAnsi="Times New Roman" w:eastAsia="Times New Roman"/>
          <w:sz w:val="24"/>
        </w:rPr>
        <w:t xml:space="preserve"> statistic, </w:t>
      </w:r>
      <w:r>
        <w:rPr>
          <w:rFonts w:ascii="Times New Roman" w:hAnsi="Times New Roman" w:eastAsia="Times New Roman"/>
          <w:i/>
          <w:sz w:val="24"/>
        </w:rPr>
        <w:t>τ²</w:t>
      </w:r>
      <w:r>
        <w:rPr>
          <w:rFonts w:ascii="Times New Roman" w:hAnsi="Times New Roman" w:eastAsia="Times New Roman"/>
          <w:sz w:val="24"/>
        </w:rPr>
        <w:t xml:space="preserve"> and </w:t>
      </w:r>
      <w:r>
        <w:rPr>
          <w:rFonts w:ascii="Times New Roman" w:hAnsi="Times New Roman" w:eastAsia="Times New Roman"/>
          <w:i/>
          <w:sz w:val="24"/>
        </w:rPr>
        <w:t>τ</w:t>
      </w:r>
      <w:r>
        <w:rPr>
          <w:rFonts w:ascii="Times New Roman" w:hAnsi="Times New Roman" w:eastAsia="Times New Roman"/>
          <w:sz w:val="24"/>
        </w:rPr>
        <w:t>,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 xml:space="preserve">All primary pooling was conducted on the Fisher </w:t>
      </w:r>
      <w:r>
        <w:rPr>
          <w:rFonts w:ascii="Times New Roman" w:hAnsi="Times New Roman" w:eastAsia="Times New Roman"/>
          <w:i/>
          <w:sz w:val="24"/>
        </w:rPr>
        <w:t>z</w:t>
      </w:r>
      <w:r>
        <w:rPr>
          <w:rFonts w:ascii="Times New Roman" w:hAnsi="Times New Roman" w:eastAsia="Times New Roman"/>
          <w:sz w:val="24"/>
        </w:rPr>
        <w:t xml:space="preserve"> scale, and pooled </w:t>
      </w:r>
      <w:r>
        <w:rPr>
          <w:rFonts w:ascii="Times New Roman" w:hAnsi="Times New Roman" w:eastAsia="Times New Roman"/>
          <w:i/>
          <w:sz w:val="24"/>
        </w:rPr>
        <w:t>z</w:t>
      </w:r>
      <w:r>
        <w:rPr>
          <w:rFonts w:ascii="Times New Roman" w:hAnsi="Times New Roman" w:eastAsia="Times New Roman"/>
          <w:sz w:val="24"/>
        </w:rPr>
        <w:t xml:space="preserve"> 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Inference criteria were two-tailed, with α = .05 for pooled effect significance tests, α = .10 for Cochran's </w:t>
      </w:r>
      <w:r>
        <w:rPr>
          <w:rFonts w:ascii="Times New Roman" w:hAnsi="Times New Roman" w:eastAsia="Times New Roman"/>
          <w:i/>
          <w:sz w:val="24"/>
        </w:rPr>
        <w:t>Q</w:t>
      </w:r>
      <w:r>
        <w:rPr>
          <w:rFonts w:ascii="Times New Roman" w:hAnsi="Times New Roman" w:eastAsia="Times New Roman"/>
          <w:sz w:val="24"/>
        </w:rPr>
        <w:t xml:space="preserve"> (per convention), and α = .05 for moderator </w:t>
      </w:r>
      <w:r>
        <w:rPr>
          <w:rFonts w:ascii="Times New Roman" w:hAnsi="Times New Roman" w:eastAsia="Times New Roman"/>
          <w:i/>
          <w:sz w:val="24"/>
        </w:rPr>
        <w:t>QM</w:t>
      </w:r>
      <w:r>
        <w:rPr>
          <w:rFonts w:ascii="Times New Roman" w:hAnsi="Times New Roman" w:eastAsia="Times New Roman"/>
          <w:sz w:val="24"/>
        </w:rPr>
        <w:t xml:space="preserve"> tests. Effect-size magnitudes were interpreted against the benchmarks proposed by Gignac and Szodorai (2016) for correlational meta-analyses, with </w:t>
      </w:r>
      <w:r>
        <w:rPr>
          <w:rFonts w:ascii="Times New Roman" w:hAnsi="Times New Roman" w:eastAsia="Times New Roman"/>
          <w:i/>
          <w:sz w:val="24"/>
        </w:rPr>
        <w:t>r</w:t>
      </w:r>
      <w:r>
        <w:rPr>
          <w:rFonts w:ascii="Times New Roman" w:hAnsi="Times New Roman" w:eastAsia="Times New Roman"/>
          <w:sz w:val="24"/>
        </w:rPr>
        <w:t xml:space="preserve"> ≈ .10 small, </w:t>
      </w:r>
      <w:r>
        <w:rPr>
          <w:rFonts w:ascii="Times New Roman" w:hAnsi="Times New Roman" w:eastAsia="Times New Roman"/>
          <w:i/>
          <w:sz w:val="24"/>
        </w:rPr>
        <w:t>r</w:t>
      </w:r>
      <w:r>
        <w:rPr>
          <w:rFonts w:ascii="Times New Roman" w:hAnsi="Times New Roman" w:eastAsia="Times New Roman"/>
          <w:sz w:val="24"/>
        </w:rPr>
        <w:t xml:space="preserve"> ≈ .20 moderate, and </w:t>
      </w:r>
      <w:r>
        <w:rPr>
          <w:rFonts w:ascii="Times New Roman" w:hAnsi="Times New Roman" w:eastAsia="Times New Roman"/>
          <w:i/>
          <w:sz w:val="24"/>
        </w:rPr>
        <w:t>r</w:t>
      </w:r>
      <w:r>
        <w:rPr>
          <w:rFonts w:ascii="Times New Roman" w:hAnsi="Times New Roman" w:eastAsia="Times New Roman"/>
          <w:sz w:val="24"/>
        </w:rPr>
        <w:t xml:space="preserve">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 xml:space="preserve">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w:t>
      </w:r>
      <w:r>
        <w:rPr>
          <w:rFonts w:ascii="Times New Roman" w:hAnsi="Times New Roman" w:eastAsia="Times New Roman"/>
          <w:i/>
          <w:sz w:val="24"/>
        </w:rPr>
        <w:t>QM</w:t>
      </w:r>
      <w:r>
        <w:rPr>
          <w:rFonts w:ascii="Times New Roman" w:hAnsi="Times New Roman" w:eastAsia="Times New Roman"/>
          <w:sz w:val="24"/>
        </w:rPr>
        <w:t xml:space="preserve"> test. The </w:t>
      </w:r>
      <w:r>
        <w:rPr>
          <w:rFonts w:ascii="Times New Roman" w:hAnsi="Times New Roman" w:eastAsia="Times New Roman"/>
          <w:i/>
          <w:sz w:val="24"/>
        </w:rPr>
        <w:t>R²</w:t>
      </w:r>
      <w:r>
        <w:rPr>
          <w:rFonts w:ascii="Times New Roman" w:hAnsi="Times New Roman" w:eastAsia="Times New Roman"/>
          <w:sz w:val="24"/>
        </w:rPr>
        <w:t xml:space="preserve">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w:t>
      </w:r>
      <w:r>
        <w:rPr>
          <w:rFonts w:ascii="Times New Roman" w:hAnsi="Times New Roman" w:eastAsia="Times New Roman"/>
          <w:i/>
          <w:sz w:val="24"/>
        </w:rPr>
        <w:t>k</w:t>
      </w:r>
      <w:r>
        <w:rPr>
          <w:rFonts w:ascii="Times New Roman" w:hAnsi="Times New Roman" w:eastAsia="Times New Roman"/>
          <w:sz w:val="24"/>
        </w:rPr>
        <w:t xml:space="preserve">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Davey Smith, Schneider, &amp; Minder, 1997); Peters' regression test adapted for correlation effect sizes; and Duval and Tweedie's (2000) trim-and-fill procedure, reported as a sensitivity check rather than as a point-estimate correction. In addition, p-curve analysis (Simonsohn, Nelson, &amp; Simmons,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 xml:space="preserve">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w:t>
      </w:r>
      <w:r>
        <w:rPr>
          <w:rFonts w:ascii="Times New Roman" w:hAnsi="Times New Roman" w:eastAsia="Times New Roman"/>
          <w:i/>
          <w:sz w:val="24"/>
        </w:rPr>
        <w:t>I²</w:t>
      </w:r>
      <w:r>
        <w:rPr>
          <w:rFonts w:ascii="Times New Roman" w:hAnsi="Times New Roman" w:eastAsia="Times New Roman"/>
          <w:sz w:val="24"/>
        </w:rPr>
        <w:t xml:space="preserve">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w:t>
      </w:r>
      <w:r>
        <w:rPr>
          <w:rFonts w:ascii="Times New Roman" w:hAnsi="Times New Roman" w:eastAsia="Times New Roman"/>
          <w:i/>
          <w:sz w:val="24"/>
        </w:rPr>
        <w:t>p</w:t>
      </w:r>
      <w:r>
        <w:rPr>
          <w:rFonts w:ascii="Times New Roman" w:hAnsi="Times New Roman" w:eastAsia="Times New Roman"/>
          <w:sz w:val="24"/>
        </w:rPr>
        <w:t xml:space="preserve">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w:t>
      </w:r>
      <w:r>
        <w:rPr>
          <w:rFonts w:ascii="Times New Roman" w:hAnsi="Times New Roman" w:eastAsia="Times New Roman"/>
          <w:i/>
          <w:sz w:val="24"/>
        </w:rPr>
        <w:t>k</w:t>
      </w:r>
      <w:r>
        <w:rPr>
          <w:rFonts w:ascii="Times New Roman" w:hAnsi="Times New Roman" w:eastAsia="Times New Roman"/>
          <w:sz w:val="24"/>
        </w:rPr>
        <w:t xml:space="preserve"> = 9–10 for the core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spacing w:line="480" w:lineRule="auto" w:before="0" w:after="0"/>
        <w:ind w:firstLine="720"/>
      </w:pPr>
      <w:r>
        <w:rPr>
          <w:rFonts w:ascii="Times New Roman" w:hAnsi="Times New Roman" w:eastAsia="Times New Roman"/>
          <w:sz w:val="24"/>
        </w:rPr>
        <w:t>Narrative description of the six moderators for which quantitative meta-regression was not feasible is summarized below. (a) Personality instrument: the instrument was heavily skewed toward the Big Five Inventory family (14 of 31 studies); NEO-family, IPIP, HEXACO, and TIPI/TIPI-J together contributed fewer than three studies each. Within the primary achievement pool, Conscientiousness estimates were comparable across BFI-44 (</w:t>
      </w:r>
      <w:r>
        <w:rPr>
          <w:rFonts w:ascii="Times New Roman" w:hAnsi="Times New Roman" w:eastAsia="Times New Roman"/>
          <w:i/>
          <w:sz w:val="24"/>
        </w:rPr>
        <w:t>r</w:t>
      </w:r>
      <w:r>
        <w:rPr>
          <w:rFonts w:ascii="Times New Roman" w:hAnsi="Times New Roman" w:eastAsia="Times New Roman"/>
          <w:sz w:val="24"/>
        </w:rPr>
        <w:t xml:space="preserve"> range = .068 to .49), TIPI-J (</w:t>
      </w:r>
      <w:r>
        <w:rPr>
          <w:rFonts w:ascii="Times New Roman" w:hAnsi="Times New Roman" w:eastAsia="Times New Roman"/>
          <w:i/>
          <w:sz w:val="24"/>
        </w:rPr>
        <w:t>r</w:t>
      </w:r>
      <w:r>
        <w:rPr>
          <w:rFonts w:ascii="Times New Roman" w:hAnsi="Times New Roman" w:eastAsia="Times New Roman"/>
          <w:sz w:val="24"/>
        </w:rPr>
        <w:t xml:space="preserve"> = .144 in Rivers, 2021), and β-converted studies. Consistent with McAbee and Oswald (2013), the short-form Mini-IPIP and TIPI produced the smallest magnitudes, but the k-per-instrument was insufficient for inferential testing. (b) Publication year: the eligible studies spanned 2003 to 2025, with concentration in 2020–2023. A scatter-plot inspection of year vs. effect size (not reported) indicated no systematic trend. (c) Log-sample size: studies with </w:t>
      </w:r>
      <w:r>
        <w:rPr>
          <w:rFonts w:ascii="Times New Roman" w:hAnsi="Times New Roman" w:eastAsia="Times New Roman"/>
          <w:i/>
          <w:sz w:val="24"/>
        </w:rPr>
        <w:t>N</w:t>
      </w:r>
      <w:r>
        <w:rPr>
          <w:rFonts w:ascii="Times New Roman" w:hAnsi="Times New Roman" w:eastAsia="Times New Roman"/>
          <w:sz w:val="24"/>
        </w:rPr>
        <w:t xml:space="preserve"> &gt; 500 (Wang 2023 </w:t>
      </w:r>
      <w:r>
        <w:rPr>
          <w:rFonts w:ascii="Times New Roman" w:hAnsi="Times New Roman" w:eastAsia="Times New Roman"/>
          <w:i/>
          <w:sz w:val="24"/>
        </w:rPr>
        <w:t>N</w:t>
      </w:r>
      <w:r>
        <w:rPr>
          <w:rFonts w:ascii="Times New Roman" w:hAnsi="Times New Roman" w:eastAsia="Times New Roman"/>
          <w:sz w:val="24"/>
        </w:rPr>
        <w:t xml:space="preserve"> = 1,625; Yu 2021 </w:t>
      </w:r>
      <w:r>
        <w:rPr>
          <w:rFonts w:ascii="Times New Roman" w:hAnsi="Times New Roman" w:eastAsia="Times New Roman"/>
          <w:i/>
          <w:sz w:val="24"/>
        </w:rPr>
        <w:t>N</w:t>
      </w:r>
      <w:r>
        <w:rPr>
          <w:rFonts w:ascii="Times New Roman" w:hAnsi="Times New Roman" w:eastAsia="Times New Roman"/>
          <w:sz w:val="24"/>
        </w:rPr>
        <w:t xml:space="preserve"> = 1,152; Alkış &amp; Temizel 2018 </w:t>
      </w:r>
      <w:r>
        <w:rPr>
          <w:rFonts w:ascii="Times New Roman" w:hAnsi="Times New Roman" w:eastAsia="Times New Roman"/>
          <w:i/>
          <w:sz w:val="24"/>
        </w:rPr>
        <w:t>N</w:t>
      </w:r>
      <w:r>
        <w:rPr>
          <w:rFonts w:ascii="Times New Roman" w:hAnsi="Times New Roman" w:eastAsia="Times New Roman"/>
          <w:sz w:val="24"/>
        </w:rPr>
        <w:t xml:space="preserve"> = 316 online subset; Bahçekapılı &amp; Karaman 2020 </w:t>
      </w:r>
      <w:r>
        <w:rPr>
          <w:rFonts w:ascii="Times New Roman" w:hAnsi="Times New Roman" w:eastAsia="Times New Roman"/>
          <w:i/>
          <w:sz w:val="24"/>
        </w:rPr>
        <w:t>N</w:t>
      </w:r>
      <w:r>
        <w:rPr>
          <w:rFonts w:ascii="Times New Roman" w:hAnsi="Times New Roman" w:eastAsia="Times New Roman"/>
          <w:sz w:val="24"/>
        </w:rPr>
        <w:t xml:space="preserve"> = 525; Kaspar et al. 2023 </w:t>
      </w:r>
      <w:r>
        <w:rPr>
          <w:rFonts w:ascii="Times New Roman" w:hAnsi="Times New Roman" w:eastAsia="Times New Roman"/>
          <w:i/>
          <w:sz w:val="24"/>
        </w:rPr>
        <w:t>N</w:t>
      </w:r>
      <w:r>
        <w:rPr>
          <w:rFonts w:ascii="Times New Roman" w:hAnsi="Times New Roman" w:eastAsia="Times New Roman"/>
          <w:sz w:val="24"/>
        </w:rPr>
        <w:t xml:space="preserve"> = 413; Quigley et al. 2022 </w:t>
      </w:r>
      <w:r>
        <w:rPr>
          <w:rFonts w:ascii="Times New Roman" w:hAnsi="Times New Roman" w:eastAsia="Times New Roman"/>
          <w:i/>
          <w:sz w:val="24"/>
        </w:rPr>
        <w:t>N</w:t>
      </w:r>
      <w:r>
        <w:rPr>
          <w:rFonts w:ascii="Times New Roman" w:hAnsi="Times New Roman" w:eastAsia="Times New Roman"/>
          <w:sz w:val="24"/>
        </w:rPr>
        <w:t xml:space="preserve"> = 301; Rodrigues et al. 2024 </w:t>
      </w:r>
      <w:r>
        <w:rPr>
          <w:rFonts w:ascii="Times New Roman" w:hAnsi="Times New Roman" w:eastAsia="Times New Roman"/>
          <w:i/>
          <w:sz w:val="24"/>
        </w:rPr>
        <w:t>N</w:t>
      </w:r>
      <w:r>
        <w:rPr>
          <w:rFonts w:ascii="Times New Roman" w:hAnsi="Times New Roman" w:eastAsia="Times New Roman"/>
          <w:sz w:val="24"/>
        </w:rPr>
        <w:t xml:space="preserve"> = 260; Zheng &amp; Zheng 2023 </w:t>
      </w:r>
      <w:r>
        <w:rPr>
          <w:rFonts w:ascii="Times New Roman" w:hAnsi="Times New Roman" w:eastAsia="Times New Roman"/>
          <w:i/>
          <w:sz w:val="24"/>
        </w:rPr>
        <w:t>N</w:t>
      </w:r>
      <w:r>
        <w:rPr>
          <w:rFonts w:ascii="Times New Roman" w:hAnsi="Times New Roman" w:eastAsia="Times New Roman"/>
          <w:sz w:val="24"/>
        </w:rPr>
        <w:t xml:space="preserve"> = 282) produced smaller pooled Conscientiousness estimates (</w:t>
      </w:r>
      <w:r>
        <w:rPr>
          <w:rFonts w:ascii="Times New Roman" w:hAnsi="Times New Roman" w:eastAsia="Times New Roman"/>
          <w:i/>
          <w:sz w:val="24"/>
        </w:rPr>
        <w:t>r</w:t>
      </w:r>
      <w:r>
        <w:rPr>
          <w:rFonts w:ascii="Times New Roman" w:hAnsi="Times New Roman" w:eastAsia="Times New Roman"/>
          <w:sz w:val="24"/>
        </w:rPr>
        <w:t xml:space="preserve"> ≈ .10) than studies with </w:t>
      </w:r>
      <w:r>
        <w:rPr>
          <w:rFonts w:ascii="Times New Roman" w:hAnsi="Times New Roman" w:eastAsia="Times New Roman"/>
          <w:i/>
          <w:sz w:val="24"/>
        </w:rPr>
        <w:t>N</w:t>
      </w:r>
      <w:r>
        <w:rPr>
          <w:rFonts w:ascii="Times New Roman" w:hAnsi="Times New Roman" w:eastAsia="Times New Roman"/>
          <w:sz w:val="24"/>
        </w:rPr>
        <w:t xml:space="preserve"> &lt; 200 (</w:t>
      </w:r>
      <w:r>
        <w:rPr>
          <w:rFonts w:ascii="Times New Roman" w:hAnsi="Times New Roman" w:eastAsia="Times New Roman"/>
          <w:i/>
          <w:sz w:val="24"/>
        </w:rPr>
        <w:t>r</w:t>
      </w:r>
      <w:r>
        <w:rPr>
          <w:rFonts w:ascii="Times New Roman" w:hAnsi="Times New Roman" w:eastAsia="Times New Roman"/>
          <w:sz w:val="24"/>
        </w:rPr>
        <w:t xml:space="preserve"> ≈ .30), a pattern consistent with small-study effects and detected also in the Egger analysis. (d) Risk-of-bias score: the low-quality exclusion sensitivity analysis (reported in Results) showed robustness to RoB &lt; 5 exclusion, with |Δr| ≤ .015 for all traits. (e) Modality: only 2 non-fully-online studies (A-02 blended subsample; A-28 MOOC) could be separately identified, precluding quantitative modality moderation. (f) Education level: only 3 K-12 studies (A-10, A-25, A-26) were identified, of which only A-26 contributed to the primary achievement pool; the K-12 contribution was therefore anchored in a single Chinese sample and cannot be generalized to the K-12 online population more broadly. Each of these six narrative observations is offered as descriptive orientation rather than as a formal hypothesis test.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accompanying OSF project (https://osf.io/79m5j/) and GitHub repository (https://github.com/etoki/paper, directory metaanalysis/).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seven were excluded for measuring a non-Big-Five personality framework (three MBTI, two Proactive Personality, one TUE, one TAM), and four were excluded for a fully face-to-face modality. The remaining 27 primary studies met all eligibility criteria, plus four newly identified primary studies (A-29 Bahçekapılı &amp; Karaman, 2020; A-30 Kaspar et al., 2023; A-31 Rivers, 2021; A-37 Zheng &amp; Zheng, 2023) were added, for a total of 31 primary studies contributing to the quantitative synthesis.</w:t>
      </w:r>
    </w:p>
    <w:p>
      <w:pPr>
        <w:spacing w:line="480" w:lineRule="auto" w:before="0" w:after="0"/>
        <w:ind w:firstLine="720"/>
      </w:pPr>
      <w:r>
        <w:rPr>
          <w:rFonts w:ascii="Times New Roman" w:hAnsi="Times New Roman" w:eastAsia="Times New Roman"/>
          <w:sz w:val="24"/>
        </w:rPr>
        <w:t xml:space="preserve">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included primary studies, four were flagged for subsequent sensitivity analysis because their effect-size contribution depended on Peterson-Brown conversion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(studies A-20, A-26, A-28, A-30), and one was flagged as a conflict-of-interest study because it is the present author's own prior primary research (A-25 Tokiwa, 2025).</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 xml:space="preserve">Characteristics of the 31 included primary studies are presented in Table 1. Publication years ranged from 2003 to 2025, with a marked acceleration in the COVID-19 era (2020–2022), during which approximately half of the eligible studies were conducted. Analytic sample sizes ranged from 47 (Elvers, 2003) to 1,625 (Wang et al., 2023), with a median </w:t>
      </w:r>
      <w:r>
        <w:rPr>
          <w:rFonts w:ascii="Times New Roman" w:hAnsi="Times New Roman" w:eastAsia="Times New Roman"/>
          <w:i/>
          <w:sz w:val="24"/>
        </w:rPr>
        <w:t>N</w:t>
      </w:r>
      <w:r>
        <w:rPr>
          <w:rFonts w:ascii="Times New Roman" w:hAnsi="Times New Roman" w:eastAsia="Times New Roman"/>
          <w:sz w:val="24"/>
        </w:rPr>
        <w:t xml:space="preserve"> of approximately 287. The 12 studies contributing direct Pearson correlations to the primary achievement pool aggregated a total sample of 3,384 participants.</w:t>
      </w:r>
    </w:p>
    <w:p>
      <w:pPr>
        <w:spacing w:line="480" w:lineRule="auto" w:before="0" w:after="0"/>
        <w:ind w:firstLine="720"/>
      </w:pPr>
      <w:r>
        <w:rPr>
          <w:rFonts w:ascii="Times New Roman" w:hAnsi="Times New Roman" w:eastAsia="Times New Roman"/>
          <w:sz w:val="24"/>
        </w:rPr>
        <w:t>The distribution of studies across learning modality was dominated by fully online modalities (27 of 31 studies), with the remainder classified as blended (A-02 has a blended subsample; reported as a separate effect size) or MOOC-specific (A-28 Yu, 2021). Within fully online, the asynchronous/synchronous distinction was explicitly reported for only 9 studies; these comprised 5 primarily asynchronous and 4 synchronous or mixed contexts. Education levels comprised K-12 (3 studies: A-10, A-25, A-26), undergraduate (22 studies), mixed undergraduate/graduate (5 studies), and graduate only (1 study: A-37 Zheng &amp; Zheng, 2023). Regional distribution, important for the pre-registered Asian-amplification moderator analysis, was as follows: Asia (13 studies; includes East Asian and Middle Eastern samples), Europe (8 studies), North America (5 studies), and Other (1 study: A-24 Tunisia). Era coding, for the era moderator, yielded 7 pre-COVID, 15 COVID-era, and 7 post-COVID or mixed-era studies; 2 studies spanned multiple eras.</w:t>
      </w:r>
    </w:p>
    <w:p>
      <w:pPr>
        <w:spacing w:line="480" w:lineRule="auto" w:before="0" w:after="0"/>
        <w:ind w:firstLine="720"/>
      </w:pPr>
      <w:r>
        <w:rPr>
          <w:rFonts w:ascii="Times New Roman" w:hAnsi="Times New Roman" w:eastAsia="Times New Roman"/>
          <w:sz w:val="24"/>
        </w:rPr>
        <w:t>Personality measurement instruments used across the included studies comprised the Big Five Inventory family (BFI-44, BFI-2, BFI-S; 14 studies), the NEO Personality Inventory family (NEO-FFI, NEO-PI-R; 3 studies), the International Personality Item Pool (IPIP, Mini-IPIP; 3 studies), the HEXACO Personality Inventory (1 study: A-19 MacLean, 2022), the Ten-Item Personality Inventory (TIPI, TIPI-J; 2 studies), and other validated Big Five–aligned scales (Sahinidis's 30-item Big Five, Chinese-language Big Five scales; 8 studies). Academic achievement outcomes were operationalized as GPA or course grade (6 studies), standardized exam or quiz score (2 studies), MOOC platform composite (1 study: A-28 Yu, 2021), self-rated performance (3 studies), or indirect proxies such as procrastination and engagement subscales (4 studies). Secondary outcomes—satisfaction, engagement, or preference—were the primary or only outcome in the remaining 15 studies and were not pooled into the primary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31 included studies was 5.6 (</w:t>
      </w:r>
      <w:r>
        <w:rPr>
          <w:rFonts w:ascii="Times New Roman" w:hAnsi="Times New Roman" w:eastAsia="Times New Roman"/>
          <w:i/>
          <w:sz w:val="24"/>
        </w:rPr>
        <w:t>SD</w:t>
      </w:r>
      <w:r>
        <w:rPr>
          <w:rFonts w:ascii="Times New Roman" w:hAnsi="Times New Roman" w:eastAsia="Times New Roman"/>
          <w:sz w:val="24"/>
        </w:rPr>
        <w:t xml:space="preserve"> = 1.1, range = 4–8). Twenty-four studies scored at or above the pre-specified low-bias threshold of 5, while seven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 xml:space="preserve">Conscientiousness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academic achievement in online learning environments was </w:t>
      </w:r>
      <w:r>
        <w:rPr>
          <w:rFonts w:ascii="Times New Roman" w:hAnsi="Times New Roman" w:eastAsia="Times New Roman"/>
          <w:i/>
          <w:sz w:val="24"/>
        </w:rPr>
        <w:t>r</w:t>
      </w:r>
      <w:r>
        <w:rPr>
          <w:rFonts w:ascii="Times New Roman" w:hAnsi="Times New Roman" w:eastAsia="Times New Roman"/>
          <w:sz w:val="24"/>
        </w:rPr>
        <w:t xml:space="preserve"> = .167 (95% CI [.089, .243], 95% PI [−.020, .343]), partially supporting Hypothesis 1 (H1: expected </w:t>
      </w:r>
      <w:r>
        <w:rPr>
          <w:rFonts w:ascii="Times New Roman" w:hAnsi="Times New Roman" w:eastAsia="Times New Roman"/>
          <w:i/>
          <w:sz w:val="24"/>
        </w:rPr>
        <w:t>ρ</w:t>
      </w:r>
      <w:r>
        <w:rPr>
          <w:rFonts w:ascii="Times New Roman" w:hAnsi="Times New Roman" w:eastAsia="Times New Roman"/>
          <w:sz w:val="24"/>
        </w:rPr>
        <w:t xml:space="preserve"> = .20–.35). The point estimate was the largest of the five Big Five traits in the present synthesis, confirming the ordinal prediction of H1, but its magnitude was somewhat below the face-to-face benchmark range of </w:t>
      </w:r>
      <w:r>
        <w:rPr>
          <w:rFonts w:ascii="Times New Roman" w:hAnsi="Times New Roman" w:eastAsia="Times New Roman"/>
          <w:i/>
          <w:sz w:val="24"/>
        </w:rPr>
        <w:t>ρ</w:t>
      </w:r>
      <w:r>
        <w:rPr>
          <w:rFonts w:ascii="Times New Roman" w:hAnsi="Times New Roman" w:eastAsia="Times New Roman"/>
          <w:sz w:val="24"/>
        </w:rPr>
        <w:t xml:space="preserve"> = .19–.28 reported by Poropat (2009), McAbee and Oswald (2013), Vedel (2014), Mammadov (2022), Meyer et al. (2023), and Chen et al. (2025). Heterogeneity was moderate (Q(9) = 25.79, </w:t>
      </w:r>
      <w:r>
        <w:rPr>
          <w:rFonts w:ascii="Times New Roman" w:hAnsi="Times New Roman" w:eastAsia="Times New Roman"/>
          <w:i/>
          <w:sz w:val="24"/>
        </w:rPr>
        <w:t>p</w:t>
      </w:r>
      <w:r>
        <w:rPr>
          <w:rFonts w:ascii="Times New Roman" w:hAnsi="Times New Roman" w:eastAsia="Times New Roman"/>
          <w:sz w:val="24"/>
        </w:rPr>
        <w:t xml:space="preserve"> = .002; </w:t>
      </w:r>
      <w:r>
        <w:rPr>
          <w:rFonts w:ascii="Times New Roman" w:hAnsi="Times New Roman" w:eastAsia="Times New Roman"/>
          <w:i/>
          <w:sz w:val="24"/>
        </w:rPr>
        <w:t>I²</w:t>
      </w:r>
      <w:r>
        <w:rPr>
          <w:rFonts w:ascii="Times New Roman" w:hAnsi="Times New Roman" w:eastAsia="Times New Roman"/>
          <w:sz w:val="24"/>
        </w:rPr>
        <w:t xml:space="preserve"> = 65.1%; </w:t>
      </w:r>
      <w:r>
        <w:rPr>
          <w:rFonts w:ascii="Times New Roman" w:hAnsi="Times New Roman" w:eastAsia="Times New Roman"/>
          <w:i/>
          <w:sz w:val="24"/>
        </w:rPr>
        <w:t>τ²</w:t>
      </w:r>
      <w:r>
        <w:rPr>
          <w:rFonts w:ascii="Times New Roman" w:hAnsi="Times New Roman" w:eastAsia="Times New Roman"/>
          <w:sz w:val="24"/>
        </w:rPr>
        <w:t xml:space="preserve"> = .006; </w:t>
      </w:r>
      <w:r>
        <w:rPr>
          <w:rFonts w:ascii="Times New Roman" w:hAnsi="Times New Roman" w:eastAsia="Times New Roman"/>
          <w:i/>
          <w:sz w:val="24"/>
        </w:rPr>
        <w:t>τ</w:t>
      </w:r>
      <w:r>
        <w:rPr>
          <w:rFonts w:ascii="Times New Roman" w:hAnsi="Times New Roman" w:eastAsia="Times New Roman"/>
          <w:sz w:val="24"/>
        </w:rPr>
        <w:t xml:space="preserve"> = .076).</w:t>
      </w:r>
    </w:p>
    <w:p>
      <w:pPr>
        <w:spacing w:line="480" w:lineRule="auto" w:before="0" w:after="0"/>
        <w:ind w:firstLine="720"/>
      </w:pPr>
      <w:r>
        <w:rPr>
          <w:rFonts w:ascii="Times New Roman" w:hAnsi="Times New Roman" w:eastAsia="Times New Roman"/>
          <w:sz w:val="24"/>
        </w:rPr>
        <w:t xml:space="preserve">Openness to Experience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.086 (95% CI [−.044, .214], 95% PI [−.273, .425]). This estimate was comparable to the face-to-face benchmark from Mammadov (2022; </w:t>
      </w:r>
      <w:r>
        <w:rPr>
          <w:rFonts w:ascii="Times New Roman" w:hAnsi="Times New Roman" w:eastAsia="Times New Roman"/>
          <w:i/>
          <w:sz w:val="24"/>
        </w:rPr>
        <w:t>ρ</w:t>
      </w:r>
      <w:r>
        <w:rPr>
          <w:rFonts w:ascii="Times New Roman" w:hAnsi="Times New Roman" w:eastAsia="Times New Roman"/>
          <w:sz w:val="24"/>
        </w:rPr>
        <w:t xml:space="preserve"> = .16) and smaller than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and the 95% confidence interval crossed zero. Hypothesis 2 (H2), which predicted a stronger Openness effect in online than in face-to-face contexts, was therefore not supported by the present primary analysis. Heterogeneity was very high (Q(8) = 100.17,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92.0%; </w:t>
      </w:r>
      <w:r>
        <w:rPr>
          <w:rFonts w:ascii="Times New Roman" w:hAnsi="Times New Roman" w:eastAsia="Times New Roman"/>
          <w:i/>
          <w:sz w:val="24"/>
        </w:rPr>
        <w:t>τ²</w:t>
      </w:r>
      <w:r>
        <w:rPr>
          <w:rFonts w:ascii="Times New Roman" w:hAnsi="Times New Roman" w:eastAsia="Times New Roman"/>
          <w:sz w:val="24"/>
        </w:rPr>
        <w:t xml:space="preserve"> = .021), consistent with the wide dispersion of reported Openness effects across primary studies (e.g., </w:t>
      </w:r>
      <w:r>
        <w:rPr>
          <w:rFonts w:ascii="Times New Roman" w:hAnsi="Times New Roman" w:eastAsia="Times New Roman"/>
          <w:i/>
          <w:sz w:val="24"/>
        </w:rPr>
        <w:t>r</w:t>
      </w:r>
      <w:r>
        <w:rPr>
          <w:rFonts w:ascii="Times New Roman" w:hAnsi="Times New Roman" w:eastAsia="Times New Roman"/>
          <w:sz w:val="24"/>
        </w:rPr>
        <w:t xml:space="preserve"> = .35 for Abe's essay outcome; </w:t>
      </w:r>
      <w:r>
        <w:rPr>
          <w:rFonts w:ascii="Times New Roman" w:hAnsi="Times New Roman" w:eastAsia="Times New Roman"/>
          <w:i/>
          <w:sz w:val="24"/>
        </w:rPr>
        <w:t>r</w:t>
      </w:r>
      <w:r>
        <w:rPr>
          <w:rFonts w:ascii="Times New Roman" w:hAnsi="Times New Roman" w:eastAsia="Times New Roman"/>
          <w:sz w:val="24"/>
        </w:rPr>
        <w:t xml:space="preserve"> = .305 for Yu's MOOC composite vs. </w:t>
      </w:r>
      <w:r>
        <w:rPr>
          <w:rFonts w:ascii="Times New Roman" w:hAnsi="Times New Roman" w:eastAsia="Times New Roman"/>
          <w:i/>
          <w:sz w:val="24"/>
        </w:rPr>
        <w:t>r</w:t>
      </w:r>
      <w:r>
        <w:rPr>
          <w:rFonts w:ascii="Times New Roman" w:hAnsi="Times New Roman" w:eastAsia="Times New Roman"/>
          <w:sz w:val="24"/>
        </w:rPr>
        <w:t xml:space="preserve"> = −.066 for Rivers's asynchronous Moodle outcome).</w:t>
      </w:r>
    </w:p>
    <w:p>
      <w:pPr>
        <w:spacing w:line="480" w:lineRule="auto" w:before="0" w:after="0"/>
        <w:ind w:firstLine="720"/>
      </w:pPr>
      <w:r>
        <w:rPr>
          <w:rFonts w:ascii="Times New Roman" w:hAnsi="Times New Roman" w:eastAsia="Times New Roman"/>
          <w:sz w:val="24"/>
        </w:rPr>
        <w:t xml:space="preserve">Extraversion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.002 (95% CI [−.076, .080]). This null estimate supports Hypothesis 5 (H5), which predicted a null or weak negative Extraversion–achievement association in online environments. Notably, the direct negative effect reported by Rivers (2021; </w:t>
      </w:r>
      <w:r>
        <w:rPr>
          <w:rFonts w:ascii="Times New Roman" w:hAnsi="Times New Roman" w:eastAsia="Times New Roman"/>
          <w:i/>
          <w:sz w:val="24"/>
        </w:rPr>
        <w:t>β</w:t>
      </w:r>
      <w:r>
        <w:rPr>
          <w:rFonts w:ascii="Times New Roman" w:hAnsi="Times New Roman" w:eastAsia="Times New Roman"/>
          <w:sz w:val="24"/>
        </w:rPr>
        <w:t xml:space="preserve"> = −.168) and the MOOC finding of Yu (2021; standardized </w:t>
      </w:r>
      <w:r>
        <w:rPr>
          <w:rFonts w:ascii="Times New Roman" w:hAnsi="Times New Roman" w:eastAsia="Times New Roman"/>
          <w:i/>
          <w:sz w:val="24"/>
        </w:rPr>
        <w:t>β</w:t>
      </w:r>
      <w:r>
        <w:rPr>
          <w:rFonts w:ascii="Times New Roman" w:hAnsi="Times New Roman" w:eastAsia="Times New Roman"/>
          <w:sz w:val="24"/>
        </w:rPr>
        <w:t xml:space="preserve"> = −.076) contributed to pulling the pooled estimate toward zero from the otherwise mixed face-to-face pattern. Heterogeneity was moderate-to-high (Q(8) = 32.66,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75.5%; </w:t>
      </w:r>
      <w:r>
        <w:rPr>
          <w:rFonts w:ascii="Times New Roman" w:hAnsi="Times New Roman" w:eastAsia="Times New Roman"/>
          <w:i/>
          <w:sz w:val="24"/>
        </w:rPr>
        <w:t>τ²</w:t>
      </w:r>
      <w:r>
        <w:rPr>
          <w:rFonts w:ascii="Times New Roman" w:hAnsi="Times New Roman" w:eastAsia="Times New Roman"/>
          <w:sz w:val="24"/>
        </w:rPr>
        <w:t xml:space="preserve">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 xml:space="preserve">Agreeableness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.112 (95% CI [−.031, .250]). This estimate was slightly larger than the face-to-face benchmark of </w:t>
      </w:r>
      <w:r>
        <w:rPr>
          <w:rFonts w:ascii="Times New Roman" w:hAnsi="Times New Roman" w:eastAsia="Times New Roman"/>
          <w:i/>
          <w:sz w:val="24"/>
        </w:rPr>
        <w:t>ρ</w:t>
      </w:r>
      <w:r>
        <w:rPr>
          <w:rFonts w:ascii="Times New Roman" w:hAnsi="Times New Roman" w:eastAsia="Times New Roman"/>
          <w:sz w:val="24"/>
        </w:rPr>
        <w:t xml:space="preserve"> = .05–.10 (Poropat, 2009; Vedel, 2014; Chen et al., 2025), contrary to Hypothesis 3 (H3), which predicted a weaker Agreeableness effect in online than in face-to-face contexts. Chinese samples in the primary corpus (Yu, 2021; Wang et al., 2023) showed amplified Agreeableness effects (converted </w:t>
      </w:r>
      <w:r>
        <w:rPr>
          <w:rFonts w:ascii="Times New Roman" w:hAnsi="Times New Roman" w:eastAsia="Times New Roman"/>
          <w:i/>
          <w:sz w:val="24"/>
        </w:rPr>
        <w:t>β</w:t>
      </w:r>
      <w:r>
        <w:rPr>
          <w:rFonts w:ascii="Times New Roman" w:hAnsi="Times New Roman" w:eastAsia="Times New Roman"/>
          <w:sz w:val="24"/>
        </w:rPr>
        <w:t xml:space="preserve"> = .442 and </w:t>
      </w:r>
      <w:r>
        <w:rPr>
          <w:rFonts w:ascii="Times New Roman" w:hAnsi="Times New Roman" w:eastAsia="Times New Roman"/>
          <w:i/>
          <w:sz w:val="24"/>
        </w:rPr>
        <w:t>β</w:t>
      </w:r>
      <w:r>
        <w:rPr>
          <w:rFonts w:ascii="Times New Roman" w:hAnsi="Times New Roman" w:eastAsia="Times New Roman"/>
          <w:sz w:val="24"/>
        </w:rPr>
        <w:t xml:space="preserve"> = .112, respectively), contributing to the higher pooled estimate; this is explored in the region moderator analysis. Heterogeneity was extremely high (Q(8) = 208.49,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96.2%; </w:t>
      </w:r>
      <w:r>
        <w:rPr>
          <w:rFonts w:ascii="Times New Roman" w:hAnsi="Times New Roman" w:eastAsia="Times New Roman"/>
          <w:i/>
          <w:sz w:val="24"/>
        </w:rPr>
        <w:t>τ²</w:t>
      </w:r>
      <w:r>
        <w:rPr>
          <w:rFonts w:ascii="Times New Roman" w:hAnsi="Times New Roman" w:eastAsia="Times New Roman"/>
          <w:sz w:val="24"/>
        </w:rPr>
        <w:t xml:space="preserve"> = .030).</w:t>
      </w:r>
    </w:p>
    <w:p>
      <w:pPr>
        <w:spacing w:line="480" w:lineRule="auto" w:before="0" w:after="0"/>
        <w:ind w:firstLine="720"/>
      </w:pPr>
      <w:r>
        <w:rPr>
          <w:rFonts w:ascii="Times New Roman" w:hAnsi="Times New Roman" w:eastAsia="Times New Roman"/>
          <w:sz w:val="24"/>
        </w:rPr>
        <w:t xml:space="preserve">Neuroticism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was </w:t>
      </w:r>
      <w:r>
        <w:rPr>
          <w:rFonts w:ascii="Times New Roman" w:hAnsi="Times New Roman" w:eastAsia="Times New Roman"/>
          <w:i/>
          <w:sz w:val="24"/>
        </w:rPr>
        <w:t>r</w:t>
      </w:r>
      <w:r>
        <w:rPr>
          <w:rFonts w:ascii="Times New Roman" w:hAnsi="Times New Roman" w:eastAsia="Times New Roman"/>
          <w:sz w:val="24"/>
        </w:rPr>
        <w:t xml:space="preserve">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79.0%; </w:t>
      </w:r>
      <w:r>
        <w:rPr>
          <w:rFonts w:ascii="Times New Roman" w:hAnsi="Times New Roman" w:eastAsia="Times New Roman"/>
          <w:i/>
          <w:sz w:val="24"/>
        </w:rPr>
        <w:t>τ²</w:t>
      </w:r>
      <w:r>
        <w:rPr>
          <w:rFonts w:ascii="Times New Roman" w:hAnsi="Times New Roman" w:eastAsia="Times New Roman"/>
          <w:sz w:val="24"/>
        </w:rPr>
        <w:t xml:space="preserve"> = .010). Primary-study signs were mixed: Rodrigues et al. (2024) and Baruth and Cohen (2022/2023) reported negative associations with satisfaction or well-being, whereas Yu (2021) reported a weakly positive association, and the β-excluded sensitivity analysis (see below) reduced the pooled </w:t>
      </w:r>
      <w:r>
        <w:rPr>
          <w:rFonts w:ascii="Times New Roman" w:hAnsi="Times New Roman" w:eastAsia="Times New Roman"/>
          <w:i/>
          <w:sz w:val="24"/>
        </w:rPr>
        <w:t>N</w:t>
      </w:r>
      <w:r>
        <w:rPr>
          <w:rFonts w:ascii="Times New Roman" w:hAnsi="Times New Roman" w:eastAsia="Times New Roman"/>
          <w:sz w:val="24"/>
        </w:rPr>
        <w:t xml:space="preserve"> estimate to </w:t>
      </w:r>
      <w:r>
        <w:rPr>
          <w:rFonts w:ascii="Times New Roman" w:hAnsi="Times New Roman" w:eastAsia="Times New Roman"/>
          <w:i/>
          <w:sz w:val="24"/>
        </w:rPr>
        <w:t>r</w:t>
      </w:r>
      <w:r>
        <w:rPr>
          <w:rFonts w:ascii="Times New Roman" w:hAnsi="Times New Roman" w:eastAsia="Times New Roman"/>
          <w:sz w:val="24"/>
        </w:rPr>
        <w:t xml:space="preserve"> = −.043, partially consistent with H4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 xml:space="preserve">Substantial between-study heterogeneity was observed across all five trait pools, with </w:t>
      </w:r>
      <w:r>
        <w:rPr>
          <w:rFonts w:ascii="Times New Roman" w:hAnsi="Times New Roman" w:eastAsia="Times New Roman"/>
          <w:i/>
          <w:sz w:val="24"/>
        </w:rPr>
        <w:t>I²</w:t>
      </w:r>
      <w:r>
        <w:rPr>
          <w:rFonts w:ascii="Times New Roman" w:hAnsi="Times New Roman" w:eastAsia="Times New Roman"/>
          <w:sz w:val="24"/>
        </w:rPr>
        <w:t xml:space="preserve"> values ranging from 65.1% (Conscientiousness) to 96.2% (Agreeableness). The consistently high </w:t>
      </w:r>
      <w:r>
        <w:rPr>
          <w:rFonts w:ascii="Times New Roman" w:hAnsi="Times New Roman" w:eastAsia="Times New Roman"/>
          <w:i/>
          <w:sz w:val="24"/>
        </w:rPr>
        <w:t>I²</w:t>
      </w:r>
      <w:r>
        <w:rPr>
          <w:rFonts w:ascii="Times New Roman" w:hAnsi="Times New Roman" w:eastAsia="Times New Roman"/>
          <w:sz w:val="24"/>
        </w:rPr>
        <w:t xml:space="preserve">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 xml:space="preserve">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w:t>
      </w:r>
      <w:r>
        <w:rPr>
          <w:rFonts w:ascii="Times New Roman" w:hAnsi="Times New Roman" w:eastAsia="Times New Roman"/>
          <w:i/>
          <w:sz w:val="24"/>
        </w:rPr>
        <w:t>k</w:t>
      </w:r>
      <w:r>
        <w:rPr>
          <w:rFonts w:ascii="Times New Roman" w:hAnsi="Times New Roman" w:eastAsia="Times New Roman"/>
          <w:sz w:val="24"/>
        </w:rPr>
        <w:t xml:space="preserve">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 xml:space="preserve">Region. The Asian-sample pattern reported by Mammadov (2022) and Chen et al. (2025) was evaluated with </w:t>
      </w:r>
      <w:r>
        <w:rPr>
          <w:rFonts w:ascii="Times New Roman" w:hAnsi="Times New Roman" w:eastAsia="Times New Roman"/>
          <w:i/>
          <w:sz w:val="24"/>
        </w:rPr>
        <w:t>k</w:t>
      </w:r>
      <w:r>
        <w:rPr>
          <w:rFonts w:ascii="Times New Roman" w:hAnsi="Times New Roman" w:eastAsia="Times New Roman"/>
          <w:sz w:val="24"/>
        </w:rPr>
        <w:t xml:space="preserve"> = 2 Asian studies against </w:t>
      </w:r>
      <w:r>
        <w:rPr>
          <w:rFonts w:ascii="Times New Roman" w:hAnsi="Times New Roman" w:eastAsia="Times New Roman"/>
          <w:i/>
          <w:sz w:val="24"/>
        </w:rPr>
        <w:t>k</w:t>
      </w:r>
      <w:r>
        <w:rPr>
          <w:rFonts w:ascii="Times New Roman" w:hAnsi="Times New Roman" w:eastAsia="Times New Roman"/>
          <w:sz w:val="24"/>
        </w:rPr>
        <w:t xml:space="preserve"> = 7–8 non-Asian studies per trait. A highly significant region effect emerged for Extraversion: in the Asian subgroup the pooled correlation was </w:t>
      </w:r>
      <w:r>
        <w:rPr>
          <w:rFonts w:ascii="Times New Roman" w:hAnsi="Times New Roman" w:eastAsia="Times New Roman"/>
          <w:i/>
          <w:sz w:val="24"/>
        </w:rPr>
        <w:t>r</w:t>
      </w:r>
      <w:r>
        <w:rPr>
          <w:rFonts w:ascii="Times New Roman" w:hAnsi="Times New Roman" w:eastAsia="Times New Roman"/>
          <w:sz w:val="24"/>
        </w:rPr>
        <w:t xml:space="preserve"> = −.131 (95% CI [−.314, .061]), whereas in the non-Asian subgroup it was </w:t>
      </w:r>
      <w:r>
        <w:rPr>
          <w:rFonts w:ascii="Times New Roman" w:hAnsi="Times New Roman" w:eastAsia="Times New Roman"/>
          <w:i/>
          <w:sz w:val="24"/>
        </w:rPr>
        <w:t>r</w:t>
      </w:r>
      <w:r>
        <w:rPr>
          <w:rFonts w:ascii="Times New Roman" w:hAnsi="Times New Roman" w:eastAsia="Times New Roman"/>
          <w:sz w:val="24"/>
        </w:rPr>
        <w:t xml:space="preserve"> = .050 (95% CI [−.004, .104]); Q_between(1) = 46.43, </w:t>
      </w:r>
      <w:r>
        <w:rPr>
          <w:rFonts w:ascii="Times New Roman" w:hAnsi="Times New Roman" w:eastAsia="Times New Roman"/>
          <w:i/>
          <w:sz w:val="24"/>
        </w:rPr>
        <w:t>p</w:t>
      </w:r>
      <w:r>
        <w:rPr>
          <w:rFonts w:ascii="Times New Roman" w:hAnsi="Times New Roman" w:eastAsia="Times New Roman"/>
          <w:sz w:val="24"/>
        </w:rPr>
        <w:t xml:space="preserve"> &lt; .001. This pattern is consistent with Chen et al.'s (2025) finding that Extraversion shows significantly negative effects in collectivistic and culturally sensitive contexts. Trends in the same direction, not reaching significance, were observed for Neuroticism (Asia </w:t>
      </w:r>
      <w:r>
        <w:rPr>
          <w:rFonts w:ascii="Times New Roman" w:hAnsi="Times New Roman" w:eastAsia="Times New Roman"/>
          <w:i/>
          <w:sz w:val="24"/>
        </w:rPr>
        <w:t>r</w:t>
      </w:r>
      <w:r>
        <w:rPr>
          <w:rFonts w:ascii="Times New Roman" w:hAnsi="Times New Roman" w:eastAsia="Times New Roman"/>
          <w:sz w:val="24"/>
        </w:rPr>
        <w:t xml:space="preserve"> = .089 vs. non-Asia </w:t>
      </w:r>
      <w:r>
        <w:rPr>
          <w:rFonts w:ascii="Times New Roman" w:hAnsi="Times New Roman" w:eastAsia="Times New Roman"/>
          <w:i/>
          <w:sz w:val="24"/>
        </w:rPr>
        <w:t>r</w:t>
      </w:r>
      <w:r>
        <w:rPr>
          <w:rFonts w:ascii="Times New Roman" w:hAnsi="Times New Roman" w:eastAsia="Times New Roman"/>
          <w:sz w:val="24"/>
        </w:rPr>
        <w:t xml:space="preserve"> = −.007; Q_between(1) = 3.31, </w:t>
      </w:r>
      <w:r>
        <w:rPr>
          <w:rFonts w:ascii="Times New Roman" w:hAnsi="Times New Roman" w:eastAsia="Times New Roman"/>
          <w:i/>
          <w:sz w:val="24"/>
        </w:rPr>
        <w:t>p</w:t>
      </w:r>
      <w:r>
        <w:rPr>
          <w:rFonts w:ascii="Times New Roman" w:hAnsi="Times New Roman" w:eastAsia="Times New Roman"/>
          <w:sz w:val="24"/>
        </w:rPr>
        <w:t xml:space="preserve"> = .069) and for Agreeableness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Q_between(1) = 2.17, </w:t>
      </w:r>
      <w:r>
        <w:rPr>
          <w:rFonts w:ascii="Times New Roman" w:hAnsi="Times New Roman" w:eastAsia="Times New Roman"/>
          <w:i/>
          <w:sz w:val="24"/>
        </w:rPr>
        <w:t>p</w:t>
      </w:r>
      <w:r>
        <w:rPr>
          <w:rFonts w:ascii="Times New Roman" w:hAnsi="Times New Roman" w:eastAsia="Times New Roman"/>
          <w:sz w:val="24"/>
        </w:rPr>
        <w:t xml:space="preserve"> = .140). Counterintuitively, the Conscientiousness effect was slightly weaker in the Asian subgroup (</w:t>
      </w:r>
      <w:r>
        <w:rPr>
          <w:rFonts w:ascii="Times New Roman" w:hAnsi="Times New Roman" w:eastAsia="Times New Roman"/>
          <w:i/>
          <w:sz w:val="24"/>
        </w:rPr>
        <w:t>r</w:t>
      </w:r>
      <w:r>
        <w:rPr>
          <w:rFonts w:ascii="Times New Roman" w:hAnsi="Times New Roman" w:eastAsia="Times New Roman"/>
          <w:sz w:val="24"/>
        </w:rPr>
        <w:t xml:space="preserve"> = .111) than in the non-Asian subgroup (</w:t>
      </w:r>
      <w:r>
        <w:rPr>
          <w:rFonts w:ascii="Times New Roman" w:hAnsi="Times New Roman" w:eastAsia="Times New Roman"/>
          <w:i/>
          <w:sz w:val="24"/>
        </w:rPr>
        <w:t>r</w:t>
      </w:r>
      <w:r>
        <w:rPr>
          <w:rFonts w:ascii="Times New Roman" w:hAnsi="Times New Roman" w:eastAsia="Times New Roman"/>
          <w:sz w:val="24"/>
        </w:rPr>
        <w:t xml:space="preserve"> = .185); Q_between(1) = 2.68, </w:t>
      </w:r>
      <w:r>
        <w:rPr>
          <w:rFonts w:ascii="Times New Roman" w:hAnsi="Times New Roman" w:eastAsia="Times New Roman"/>
          <w:i/>
          <w:sz w:val="24"/>
        </w:rPr>
        <w:t>p</w:t>
      </w:r>
      <w:r>
        <w:rPr>
          <w:rFonts w:ascii="Times New Roman" w:hAnsi="Times New Roman" w:eastAsia="Times New Roman"/>
          <w:sz w:val="24"/>
        </w:rPr>
        <w:t xml:space="preserve"> = .102. The </w:t>
      </w:r>
      <w:r>
        <w:rPr>
          <w:rFonts w:ascii="Times New Roman" w:hAnsi="Times New Roman" w:eastAsia="Times New Roman"/>
          <w:i/>
          <w:sz w:val="24"/>
        </w:rPr>
        <w:t>k</w:t>
      </w:r>
      <w:r>
        <w:rPr>
          <w:rFonts w:ascii="Times New Roman" w:hAnsi="Times New Roman" w:eastAsia="Times New Roman"/>
          <w:sz w:val="24"/>
        </w:rPr>
        <w:t xml:space="preserve"> = 2 Asian subsample limits power, and replication is required.</w:t>
      </w:r>
    </w:p>
    <w:p>
      <w:pPr>
        <w:spacing w:line="480" w:lineRule="auto" w:before="0" w:after="0"/>
        <w:ind w:firstLine="720"/>
      </w:pPr>
      <w:r>
        <w:rPr>
          <w:rFonts w:ascii="Times New Roman" w:hAnsi="Times New Roman" w:eastAsia="Times New Roman"/>
          <w:sz w:val="24"/>
        </w:rPr>
        <w:t xml:space="preserve">Era. The pre-COVID vs. COVID-era contrast yielded no significant moderation for any trait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.15). Notably,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Q_between(1) = 0.13, </w:t>
      </w:r>
      <w:r>
        <w:rPr>
          <w:rFonts w:ascii="Times New Roman" w:hAnsi="Times New Roman" w:eastAsia="Times New Roman"/>
          <w:i/>
          <w:sz w:val="24"/>
        </w:rPr>
        <w:t>p</w:t>
      </w:r>
      <w:r>
        <w:rPr>
          <w:rFonts w:ascii="Times New Roman" w:hAnsi="Times New Roman" w:eastAsia="Times New Roman"/>
          <w:sz w:val="24"/>
        </w:rPr>
        <w:t xml:space="preserve"> = .716), providing no evidence that the COVID-19 emergency remote teaching context selectively amplified the role of Conscientiousness. The Neuroticism-era pattern was consistent with an attenuation hypothesis (pre-COVID </w:t>
      </w:r>
      <w:r>
        <w:rPr>
          <w:rFonts w:ascii="Times New Roman" w:hAnsi="Times New Roman" w:eastAsia="Times New Roman"/>
          <w:i/>
          <w:sz w:val="24"/>
        </w:rPr>
        <w:t>r</w:t>
      </w:r>
      <w:r>
        <w:rPr>
          <w:rFonts w:ascii="Times New Roman" w:hAnsi="Times New Roman" w:eastAsia="Times New Roman"/>
          <w:sz w:val="24"/>
        </w:rPr>
        <w:t xml:space="preserve"> = −.050 vs. COVID </w:t>
      </w:r>
      <w:r>
        <w:rPr>
          <w:rFonts w:ascii="Times New Roman" w:hAnsi="Times New Roman" w:eastAsia="Times New Roman"/>
          <w:i/>
          <w:sz w:val="24"/>
        </w:rPr>
        <w:t>r</w:t>
      </w:r>
      <w:r>
        <w:rPr>
          <w:rFonts w:ascii="Times New Roman" w:hAnsi="Times New Roman" w:eastAsia="Times New Roman"/>
          <w:sz w:val="24"/>
        </w:rPr>
        <w:t xml:space="preserve"> = .060; Q_between(1) = 2.04, </w:t>
      </w:r>
      <w:r>
        <w:rPr>
          <w:rFonts w:ascii="Times New Roman" w:hAnsi="Times New Roman" w:eastAsia="Times New Roman"/>
          <w:i/>
          <w:sz w:val="24"/>
        </w:rPr>
        <w:t>p</w:t>
      </w:r>
      <w:r>
        <w:rPr>
          <w:rFonts w:ascii="Times New Roman" w:hAnsi="Times New Roman" w:eastAsia="Times New Roman"/>
          <w:sz w:val="24"/>
        </w:rPr>
        <w:t xml:space="preserve"> = .153), but did not reach conventional significance. The post-COVID era was under-represented (</w:t>
      </w:r>
      <w:r>
        <w:rPr>
          <w:rFonts w:ascii="Times New Roman" w:hAnsi="Times New Roman" w:eastAsia="Times New Roman"/>
          <w:i/>
          <w:sz w:val="24"/>
        </w:rPr>
        <w:t>k</w:t>
      </w:r>
      <w:r>
        <w:rPr>
          <w:rFonts w:ascii="Times New Roman" w:hAnsi="Times New Roman" w:eastAsia="Times New Roman"/>
          <w:sz w:val="24"/>
        </w:rPr>
        <w:t xml:space="preserve"> = 2 studies explicitly post-COVID) and could not be isolated as a distinct subgroup.</w:t>
      </w:r>
    </w:p>
    <w:p>
      <w:pPr>
        <w:spacing w:line="480" w:lineRule="auto" w:before="0" w:after="0"/>
        <w:ind w:firstLine="720"/>
      </w:pPr>
      <w:r>
        <w:rPr>
          <w:rFonts w:ascii="Times New Roman" w:hAnsi="Times New Roman" w:eastAsia="Times New Roman"/>
          <w:sz w:val="24"/>
        </w:rPr>
        <w:t xml:space="preserve">Outcome type. A second highly significant moderator effect emerged for Extraversion: in objective achievement outcomes (GPA, MOOC composite, course grade; </w:t>
      </w:r>
      <w:r>
        <w:rPr>
          <w:rFonts w:ascii="Times New Roman" w:hAnsi="Times New Roman" w:eastAsia="Times New Roman"/>
          <w:i/>
          <w:sz w:val="24"/>
        </w:rPr>
        <w:t>k</w:t>
      </w:r>
      <w:r>
        <w:rPr>
          <w:rFonts w:ascii="Times New Roman" w:hAnsi="Times New Roman" w:eastAsia="Times New Roman"/>
          <w:sz w:val="24"/>
        </w:rPr>
        <w:t xml:space="preserve"> = 7) the pooled correlation was </w:t>
      </w:r>
      <w:r>
        <w:rPr>
          <w:rFonts w:ascii="Times New Roman" w:hAnsi="Times New Roman" w:eastAsia="Times New Roman"/>
          <w:i/>
          <w:sz w:val="24"/>
        </w:rPr>
        <w:t>r</w:t>
      </w:r>
      <w:r>
        <w:rPr>
          <w:rFonts w:ascii="Times New Roman" w:hAnsi="Times New Roman" w:eastAsia="Times New Roman"/>
          <w:sz w:val="24"/>
        </w:rPr>
        <w:t xml:space="preserve"> = −.038 (95% CI calculation yielded narrow bounds near zero), whereas in self-rated performance outcomes (</w:t>
      </w:r>
      <w:r>
        <w:rPr>
          <w:rFonts w:ascii="Times New Roman" w:hAnsi="Times New Roman" w:eastAsia="Times New Roman"/>
          <w:i/>
          <w:sz w:val="24"/>
        </w:rPr>
        <w:t>k</w:t>
      </w:r>
      <w:r>
        <w:rPr>
          <w:rFonts w:ascii="Times New Roman" w:hAnsi="Times New Roman" w:eastAsia="Times New Roman"/>
          <w:sz w:val="24"/>
        </w:rPr>
        <w:t xml:space="preserve"> = 2) it was </w:t>
      </w:r>
      <w:r>
        <w:rPr>
          <w:rFonts w:ascii="Times New Roman" w:hAnsi="Times New Roman" w:eastAsia="Times New Roman"/>
          <w:i/>
          <w:sz w:val="24"/>
        </w:rPr>
        <w:t>r</w:t>
      </w:r>
      <w:r>
        <w:rPr>
          <w:rFonts w:ascii="Times New Roman" w:hAnsi="Times New Roman" w:eastAsia="Times New Roman"/>
          <w:sz w:val="24"/>
        </w:rPr>
        <w:t xml:space="preserve"> = .117; Q_between(1) = 17.30, </w:t>
      </w:r>
      <w:r>
        <w:rPr>
          <w:rFonts w:ascii="Times New Roman" w:hAnsi="Times New Roman" w:eastAsia="Times New Roman"/>
          <w:i/>
          <w:sz w:val="24"/>
        </w:rPr>
        <w:t>p</w:t>
      </w:r>
      <w:r>
        <w:rPr>
          <w:rFonts w:ascii="Times New Roman" w:hAnsi="Times New Roman" w:eastAsia="Times New Roman"/>
          <w:sz w:val="24"/>
        </w:rPr>
        <w:t xml:space="preserve">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.12). The six remaining pre-registered moderators could not be tested quantitatively due to insufficient </w:t>
      </w:r>
      <w:r>
        <w:rPr>
          <w:rFonts w:ascii="Times New Roman" w:hAnsi="Times New Roman" w:eastAsia="Times New Roman"/>
          <w:i/>
          <w:sz w:val="24"/>
        </w:rPr>
        <w:t>k</w:t>
      </w:r>
      <w:r>
        <w:rPr>
          <w:rFonts w:ascii="Times New Roman" w:hAnsi="Times New Roman" w:eastAsia="Times New Roman"/>
          <w:sz w:val="24"/>
        </w:rPr>
        <w:t xml:space="preserve">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 xml:space="preserve">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primary pool. Third, excluding studies whose effect sizes had been Peterson-Brown-converted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produced larger changes, particularly for Neuroticism (pooled </w:t>
      </w:r>
      <w:r>
        <w:rPr>
          <w:rFonts w:ascii="Times New Roman" w:hAnsi="Times New Roman" w:eastAsia="Times New Roman"/>
          <w:i/>
          <w:sz w:val="24"/>
        </w:rPr>
        <w:t>r</w:t>
      </w:r>
      <w:r>
        <w:rPr>
          <w:rFonts w:ascii="Times New Roman" w:hAnsi="Times New Roman" w:eastAsia="Times New Roman"/>
          <w:sz w:val="24"/>
        </w:rPr>
        <w:t xml:space="preserve">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most influential single study for the Agreeableness pool (removal shifted </w:t>
      </w:r>
      <w:r>
        <w:rPr>
          <w:rFonts w:ascii="Times New Roman" w:hAnsi="Times New Roman" w:eastAsia="Times New Roman"/>
          <w:i/>
          <w:sz w:val="24"/>
        </w:rPr>
        <w:t>r</w:t>
      </w:r>
      <w:r>
        <w:rPr>
          <w:rFonts w:ascii="Times New Roman" w:hAnsi="Times New Roman" w:eastAsia="Times New Roman"/>
          <w:sz w:val="24"/>
        </w:rPr>
        <w:t xml:space="preserve"> from .112 to .066) and Rivers (2021) as influential for Extraversion (removal shifted </w:t>
      </w:r>
      <w:r>
        <w:rPr>
          <w:rFonts w:ascii="Times New Roman" w:hAnsi="Times New Roman" w:eastAsia="Times New Roman"/>
          <w:i/>
          <w:sz w:val="24"/>
        </w:rPr>
        <w:t>r</w:t>
      </w:r>
      <w:r>
        <w:rPr>
          <w:rFonts w:ascii="Times New Roman" w:hAnsi="Times New Roman" w:eastAsia="Times New Roman"/>
          <w:sz w:val="24"/>
        </w:rPr>
        <w:t xml:space="preserve"> from .002 to .028), consistent with their roles as the largest objective-outcome sources in those pools.</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 xml:space="preserve">Funnel plots for each trait are presented in Figures 7A through 7E. Egger's regression asymmetry test was significant for Openness (intercept = −6.41, SE = 2.63, t(7) = −2.43, </w:t>
      </w:r>
      <w:r>
        <w:rPr>
          <w:rFonts w:ascii="Times New Roman" w:hAnsi="Times New Roman" w:eastAsia="Times New Roman"/>
          <w:i/>
          <w:sz w:val="24"/>
        </w:rPr>
        <w:t>p</w:t>
      </w:r>
      <w:r>
        <w:rPr>
          <w:rFonts w:ascii="Times New Roman" w:hAnsi="Times New Roman" w:eastAsia="Times New Roman"/>
          <w:sz w:val="24"/>
        </w:rPr>
        <w:t xml:space="preserve"> = .045) and approached significance for Agreeableness (intercept = −8.53, SE = 4.03, t(7) = −2.12, </w:t>
      </w:r>
      <w:r>
        <w:rPr>
          <w:rFonts w:ascii="Times New Roman" w:hAnsi="Times New Roman" w:eastAsia="Times New Roman"/>
          <w:i/>
          <w:sz w:val="24"/>
        </w:rPr>
        <w:t>p</w:t>
      </w:r>
      <w:r>
        <w:rPr>
          <w:rFonts w:ascii="Times New Roman" w:hAnsi="Times New Roman" w:eastAsia="Times New Roman"/>
          <w:sz w:val="24"/>
        </w:rPr>
        <w:t xml:space="preserve"> = .072). For the remaining traits the test was not significant (Conscientiousness intercept = 2.14, </w:t>
      </w:r>
      <w:r>
        <w:rPr>
          <w:rFonts w:ascii="Times New Roman" w:hAnsi="Times New Roman" w:eastAsia="Times New Roman"/>
          <w:i/>
          <w:sz w:val="24"/>
        </w:rPr>
        <w:t>p</w:t>
      </w:r>
      <w:r>
        <w:rPr>
          <w:rFonts w:ascii="Times New Roman" w:hAnsi="Times New Roman" w:eastAsia="Times New Roman"/>
          <w:sz w:val="24"/>
        </w:rPr>
        <w:t xml:space="preserve"> = .094; Extraversion intercept = 2.29, </w:t>
      </w:r>
      <w:r>
        <w:rPr>
          <w:rFonts w:ascii="Times New Roman" w:hAnsi="Times New Roman" w:eastAsia="Times New Roman"/>
          <w:i/>
          <w:sz w:val="24"/>
        </w:rPr>
        <w:t>p</w:t>
      </w:r>
      <w:r>
        <w:rPr>
          <w:rFonts w:ascii="Times New Roman" w:hAnsi="Times New Roman" w:eastAsia="Times New Roman"/>
          <w:sz w:val="24"/>
        </w:rPr>
        <w:t xml:space="preserve"> = .255; Neuroticism intercept = −1.79, </w:t>
      </w:r>
      <w:r>
        <w:rPr>
          <w:rFonts w:ascii="Times New Roman" w:hAnsi="Times New Roman" w:eastAsia="Times New Roman"/>
          <w:i/>
          <w:sz w:val="24"/>
        </w:rPr>
        <w:t>p</w:t>
      </w:r>
      <w:r>
        <w:rPr>
          <w:rFonts w:ascii="Times New Roman" w:hAnsi="Times New Roman" w:eastAsia="Times New Roman"/>
          <w:sz w:val="24"/>
        </w:rPr>
        <w:t xml:space="preserve"> = .304). Given the low statistical power of Egger's test with </w:t>
      </w:r>
      <w:r>
        <w:rPr>
          <w:rFonts w:ascii="Times New Roman" w:hAnsi="Times New Roman" w:eastAsia="Times New Roman"/>
          <w:i/>
          <w:sz w:val="24"/>
        </w:rPr>
        <w:t>k</w:t>
      </w:r>
      <w:r>
        <w:rPr>
          <w:rFonts w:ascii="Times New Roman" w:hAnsi="Times New Roman" w:eastAsia="Times New Roman"/>
          <w:sz w:val="24"/>
        </w:rPr>
        <w:t xml:space="preserve">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 xml:space="preserve">Duval and Tweedie's (2000) trim-and-fill procedure imputed hypothetical missing studies on the under-represented side of the funnel for three of the five traits: one additional study for Openness (adjusted </w:t>
      </w:r>
      <w:r>
        <w:rPr>
          <w:rFonts w:ascii="Times New Roman" w:hAnsi="Times New Roman" w:eastAsia="Times New Roman"/>
          <w:i/>
          <w:sz w:val="24"/>
        </w:rPr>
        <w:t>r</w:t>
      </w:r>
      <w:r>
        <w:rPr>
          <w:rFonts w:ascii="Times New Roman" w:hAnsi="Times New Roman" w:eastAsia="Times New Roman"/>
          <w:sz w:val="24"/>
        </w:rPr>
        <w:t xml:space="preserve"> = .107 vs. original </w:t>
      </w:r>
      <w:r>
        <w:rPr>
          <w:rFonts w:ascii="Times New Roman" w:hAnsi="Times New Roman" w:eastAsia="Times New Roman"/>
          <w:i/>
          <w:sz w:val="24"/>
        </w:rPr>
        <w:t>r</w:t>
      </w:r>
      <w:r>
        <w:rPr>
          <w:rFonts w:ascii="Times New Roman" w:hAnsi="Times New Roman" w:eastAsia="Times New Roman"/>
          <w:sz w:val="24"/>
        </w:rPr>
        <w:t xml:space="preserve"> = .086), two for Extraversion (adjusted </w:t>
      </w:r>
      <w:r>
        <w:rPr>
          <w:rFonts w:ascii="Times New Roman" w:hAnsi="Times New Roman" w:eastAsia="Times New Roman"/>
          <w:i/>
          <w:sz w:val="24"/>
        </w:rPr>
        <w:t>r</w:t>
      </w:r>
      <w:r>
        <w:rPr>
          <w:rFonts w:ascii="Times New Roman" w:hAnsi="Times New Roman" w:eastAsia="Times New Roman"/>
          <w:sz w:val="24"/>
        </w:rPr>
        <w:t xml:space="preserve"> = −.036 vs. original </w:t>
      </w:r>
      <w:r>
        <w:rPr>
          <w:rFonts w:ascii="Times New Roman" w:hAnsi="Times New Roman" w:eastAsia="Times New Roman"/>
          <w:i/>
          <w:sz w:val="24"/>
        </w:rPr>
        <w:t>r</w:t>
      </w:r>
      <w:r>
        <w:rPr>
          <w:rFonts w:ascii="Times New Roman" w:hAnsi="Times New Roman" w:eastAsia="Times New Roman"/>
          <w:sz w:val="24"/>
        </w:rPr>
        <w:t xml:space="preserve">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primary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6.0), moderate inconsistency (</w:t>
      </w:r>
      <w:r>
        <w:rPr>
          <w:rFonts w:ascii="Times New Roman" w:hAnsi="Times New Roman" w:eastAsia="Times New Roman"/>
          <w:i/>
          <w:sz w:val="24"/>
        </w:rPr>
        <w:t>I²</w:t>
      </w:r>
      <w:r>
        <w:rPr>
          <w:rFonts w:ascii="Times New Roman" w:hAnsi="Times New Roman" w:eastAsia="Times New Roman"/>
          <w:sz w:val="24"/>
        </w:rPr>
        <w:t xml:space="preserve"> = 65.1% with a PI that just crosses zero), direct relevance to the review question, adequate precision (CI width = .15 &lt; 2 × MOI of .10), and borderline publication-bias signal (Egger </w:t>
      </w:r>
      <w:r>
        <w:rPr>
          <w:rFonts w:ascii="Times New Roman" w:hAnsi="Times New Roman" w:eastAsia="Times New Roman"/>
          <w:i/>
          <w:sz w:val="24"/>
        </w:rPr>
        <w:t>p</w:t>
      </w:r>
      <w:r>
        <w:rPr>
          <w:rFonts w:ascii="Times New Roman" w:hAnsi="Times New Roman" w:eastAsia="Times New Roman"/>
          <w:sz w:val="24"/>
        </w:rPr>
        <w:t xml:space="preserve"> = .094). Confidence in the pooled Openness estimate was rated Low due to very high inconsistency (</w:t>
      </w:r>
      <w:r>
        <w:rPr>
          <w:rFonts w:ascii="Times New Roman" w:hAnsi="Times New Roman" w:eastAsia="Times New Roman"/>
          <w:i/>
          <w:sz w:val="24"/>
        </w:rPr>
        <w:t>I²</w:t>
      </w:r>
      <w:r>
        <w:rPr>
          <w:rFonts w:ascii="Times New Roman" w:hAnsi="Times New Roman" w:eastAsia="Times New Roman"/>
          <w:sz w:val="24"/>
        </w:rPr>
        <w:t xml:space="preserve"> = 92.0%), wide imprecision (CI = [−.044, .214]), and significant Egger asymmetry (</w:t>
      </w:r>
      <w:r>
        <w:rPr>
          <w:rFonts w:ascii="Times New Roman" w:hAnsi="Times New Roman" w:eastAsia="Times New Roman"/>
          <w:i/>
          <w:sz w:val="24"/>
        </w:rPr>
        <w:t>p</w:t>
      </w:r>
      <w:r>
        <w:rPr>
          <w:rFonts w:ascii="Times New Roman" w:hAnsi="Times New Roman" w:eastAsia="Times New Roman"/>
          <w:sz w:val="24"/>
        </w:rPr>
        <w:t xml:space="preserve">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w:t>
      </w:r>
      <w:r>
        <w:rPr>
          <w:rFonts w:ascii="Times New Roman" w:hAnsi="Times New Roman" w:eastAsia="Times New Roman"/>
          <w:i/>
          <w:sz w:val="24"/>
        </w:rPr>
        <w:t>I²</w:t>
      </w:r>
      <w:r>
        <w:rPr>
          <w:rFonts w:ascii="Times New Roman" w:hAnsi="Times New Roman" w:eastAsia="Times New Roman"/>
          <w:sz w:val="24"/>
        </w:rPr>
        <w:t xml:space="preserve"> (96.2%) and trend-level Egger asymmetry (</w:t>
      </w:r>
      <w:r>
        <w:rPr>
          <w:rFonts w:ascii="Times New Roman" w:hAnsi="Times New Roman" w:eastAsia="Times New Roman"/>
          <w:i/>
          <w:sz w:val="24"/>
        </w:rPr>
        <w:t>p</w:t>
      </w:r>
      <w:r>
        <w:rPr>
          <w:rFonts w:ascii="Times New Roman" w:hAnsi="Times New Roman" w:eastAsia="Times New Roman"/>
          <w:sz w:val="24"/>
        </w:rPr>
        <w:t xml:space="preserve"> = .072). Confidence in the pooled Neuroticism estimate was rated Low, reflecting moderate-to-high inconsistency (</w:t>
      </w:r>
      <w:r>
        <w:rPr>
          <w:rFonts w:ascii="Times New Roman" w:hAnsi="Times New Roman" w:eastAsia="Times New Roman"/>
          <w:i/>
          <w:sz w:val="24"/>
        </w:rPr>
        <w:t>I²</w:t>
      </w:r>
      <w:r>
        <w:rPr>
          <w:rFonts w:ascii="Times New Roman" w:hAnsi="Times New Roman" w:eastAsia="Times New Roman"/>
          <w:sz w:val="24"/>
        </w:rPr>
        <w:t xml:space="preserve">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 xml:space="preserve">The present systematic review and meta-analysis provides the first quantitative synthesis of the association between Big Five personality traits and academic achievement in online learning environments. Across 31 included primary studies, of which 10 contributed direct Pearson correlations to the primary achievement pool (total pooled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online academic achievement was </w:t>
      </w:r>
      <w:r>
        <w:rPr>
          <w:rFonts w:ascii="Times New Roman" w:hAnsi="Times New Roman" w:eastAsia="Times New Roman"/>
          <w:i/>
          <w:sz w:val="24"/>
        </w:rPr>
        <w:t>r</w:t>
      </w:r>
      <w:r>
        <w:rPr>
          <w:rFonts w:ascii="Times New Roman" w:hAnsi="Times New Roman" w:eastAsia="Times New Roman"/>
          <w:sz w:val="24"/>
        </w:rPr>
        <w:t xml:space="preserve"> = .167 (95% CI [.089, .243]). Comparable estimates were obtained for Openness (</w:t>
      </w:r>
      <w:r>
        <w:rPr>
          <w:rFonts w:ascii="Times New Roman" w:hAnsi="Times New Roman" w:eastAsia="Times New Roman"/>
          <w:i/>
          <w:sz w:val="24"/>
        </w:rPr>
        <w:t>r</w:t>
      </w:r>
      <w:r>
        <w:rPr>
          <w:rFonts w:ascii="Times New Roman" w:hAnsi="Times New Roman" w:eastAsia="Times New Roman"/>
          <w:sz w:val="24"/>
        </w:rPr>
        <w:t xml:space="preserve"> = .086 [−.044, .214]), Agreeableness (</w:t>
      </w:r>
      <w:r>
        <w:rPr>
          <w:rFonts w:ascii="Times New Roman" w:hAnsi="Times New Roman" w:eastAsia="Times New Roman"/>
          <w:i/>
          <w:sz w:val="24"/>
        </w:rPr>
        <w:t>r</w:t>
      </w:r>
      <w:r>
        <w:rPr>
          <w:rFonts w:ascii="Times New Roman" w:hAnsi="Times New Roman" w:eastAsia="Times New Roman"/>
          <w:sz w:val="24"/>
        </w:rPr>
        <w:t xml:space="preserve"> = .112 [−.031, .250]),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w:t>
      </w:r>
      <w:r>
        <w:rPr>
          <w:rFonts w:ascii="Times New Roman" w:hAnsi="Times New Roman" w:eastAsia="Times New Roman"/>
          <w:i/>
          <w:sz w:val="24"/>
        </w:rPr>
        <w:t>ρ</w:t>
      </w:r>
      <w:r>
        <w:rPr>
          <w:rFonts w:ascii="Times New Roman" w:hAnsi="Times New Roman" w:eastAsia="Times New Roman"/>
          <w:sz w:val="24"/>
        </w:rPr>
        <w:t xml:space="preserve"> of .20–.28, and Agreeableness showed a slightly larger effect than in face-to-face samples, driven by Chinese and Middle Eastern studies. Two pre-registered moderator effects were highly significant: Extraversion × Region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with Asian samples showing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and Extraversion × Outcome Type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with objective outcomes showing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 xml:space="preserve">Hypothesis 1 (Conscientiousness as strongest positive predictor). The pooled Conscientiousness–achievement correlation of </w:t>
      </w:r>
      <w:r>
        <w:rPr>
          <w:rFonts w:ascii="Times New Roman" w:hAnsi="Times New Roman" w:eastAsia="Times New Roman"/>
          <w:i/>
          <w:sz w:val="24"/>
        </w:rPr>
        <w:t>r</w:t>
      </w:r>
      <w:r>
        <w:rPr>
          <w:rFonts w:ascii="Times New Roman" w:hAnsi="Times New Roman" w:eastAsia="Times New Roman"/>
          <w:sz w:val="24"/>
        </w:rPr>
        <w:t xml:space="preserve">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w:t>
      </w:r>
      <w:r>
        <w:rPr>
          <w:rFonts w:ascii="Times New Roman" w:hAnsi="Times New Roman" w:eastAsia="Times New Roman"/>
          <w:i/>
          <w:sz w:val="24"/>
        </w:rPr>
        <w:t>ρ</w:t>
      </w:r>
      <w:r>
        <w:rPr>
          <w:rFonts w:ascii="Times New Roman" w:hAnsi="Times New Roman" w:eastAsia="Times New Roman"/>
          <w:sz w:val="24"/>
        </w:rPr>
        <w:t xml:space="preserve"> = .22), McAbee and Oswald (2013; </w:t>
      </w:r>
      <w:r>
        <w:rPr>
          <w:rFonts w:ascii="Times New Roman" w:hAnsi="Times New Roman" w:eastAsia="Times New Roman"/>
          <w:i/>
          <w:sz w:val="24"/>
        </w:rPr>
        <w:t>ρ</w:t>
      </w:r>
      <w:r>
        <w:rPr>
          <w:rFonts w:ascii="Times New Roman" w:hAnsi="Times New Roman" w:eastAsia="Times New Roman"/>
          <w:sz w:val="24"/>
        </w:rPr>
        <w:t xml:space="preserve"> = .26), Vedel (2014; </w:t>
      </w:r>
      <w:r>
        <w:rPr>
          <w:rFonts w:ascii="Times New Roman" w:hAnsi="Times New Roman" w:eastAsia="Times New Roman"/>
          <w:i/>
          <w:sz w:val="24"/>
        </w:rPr>
        <w:t>ρ</w:t>
      </w:r>
      <w:r>
        <w:rPr>
          <w:rFonts w:ascii="Times New Roman" w:hAnsi="Times New Roman" w:eastAsia="Times New Roman"/>
          <w:sz w:val="24"/>
        </w:rPr>
        <w:t xml:space="preserve"> = .26), Mammadov (2022; </w:t>
      </w:r>
      <w:r>
        <w:rPr>
          <w:rFonts w:ascii="Times New Roman" w:hAnsi="Times New Roman" w:eastAsia="Times New Roman"/>
          <w:i/>
          <w:sz w:val="24"/>
        </w:rPr>
        <w:t>ρ</w:t>
      </w:r>
      <w:r>
        <w:rPr>
          <w:rFonts w:ascii="Times New Roman" w:hAnsi="Times New Roman" w:eastAsia="Times New Roman"/>
          <w:sz w:val="24"/>
        </w:rPr>
        <w:t xml:space="preserve"> = .27), and Chen et al. (2025; </w:t>
      </w:r>
      <w:r>
        <w:rPr>
          <w:rFonts w:ascii="Times New Roman" w:hAnsi="Times New Roman" w:eastAsia="Times New Roman"/>
          <w:i/>
          <w:sz w:val="24"/>
        </w:rPr>
        <w:t>r</w:t>
      </w:r>
      <w:r>
        <w:rPr>
          <w:rFonts w:ascii="Times New Roman" w:hAnsi="Times New Roman" w:eastAsia="Times New Roman"/>
          <w:sz w:val="24"/>
        </w:rPr>
        <w:t xml:space="preserve">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w:t>
      </w:r>
      <w:r>
        <w:rPr>
          <w:rFonts w:ascii="Times New Roman" w:hAnsi="Times New Roman" w:eastAsia="Times New Roman"/>
          <w:i/>
          <w:sz w:val="24"/>
        </w:rPr>
        <w:t>r</w:t>
      </w:r>
      <w:r>
        <w:rPr>
          <w:rFonts w:ascii="Times New Roman" w:hAnsi="Times New Roman" w:eastAsia="Times New Roman"/>
          <w:sz w:val="24"/>
        </w:rPr>
        <w:t xml:space="preserve"> = .086) was the third-largest positive effect in the present synthesis, surpassed by both Conscientiousness (</w:t>
      </w:r>
      <w:r>
        <w:rPr>
          <w:rFonts w:ascii="Times New Roman" w:hAnsi="Times New Roman" w:eastAsia="Times New Roman"/>
          <w:i/>
          <w:sz w:val="24"/>
        </w:rPr>
        <w:t>r</w:t>
      </w:r>
      <w:r>
        <w:rPr>
          <w:rFonts w:ascii="Times New Roman" w:hAnsi="Times New Roman" w:eastAsia="Times New Roman"/>
          <w:sz w:val="24"/>
        </w:rPr>
        <w:t xml:space="preserve"> = .167) and Agreeableness (</w:t>
      </w:r>
      <w:r>
        <w:rPr>
          <w:rFonts w:ascii="Times New Roman" w:hAnsi="Times New Roman" w:eastAsia="Times New Roman"/>
          <w:i/>
          <w:sz w:val="24"/>
        </w:rPr>
        <w:t>r</w:t>
      </w:r>
      <w:r>
        <w:rPr>
          <w:rFonts w:ascii="Times New Roman" w:hAnsi="Times New Roman" w:eastAsia="Times New Roman"/>
          <w:sz w:val="24"/>
        </w:rPr>
        <w:t xml:space="preserve"> = .112). The 95% confidence interval crossed zero, and the estimate was comparable to the face-to-face benchmark of Mammadov (2022; </w:t>
      </w:r>
      <w:r>
        <w:rPr>
          <w:rFonts w:ascii="Times New Roman" w:hAnsi="Times New Roman" w:eastAsia="Times New Roman"/>
          <w:i/>
          <w:sz w:val="24"/>
        </w:rPr>
        <w:t>ρ</w:t>
      </w:r>
      <w:r>
        <w:rPr>
          <w:rFonts w:ascii="Times New Roman" w:hAnsi="Times New Roman" w:eastAsia="Times New Roman"/>
          <w:sz w:val="24"/>
        </w:rPr>
        <w:t xml:space="preserve"> = .16) but substantially below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 xml:space="preserve">Hypothesis 3 (Agreeableness as small positive effect, weaker than FtF). The pooled Agreeableness–achievement correlation was </w:t>
      </w:r>
      <w:r>
        <w:rPr>
          <w:rFonts w:ascii="Times New Roman" w:hAnsi="Times New Roman" w:eastAsia="Times New Roman"/>
          <w:i/>
          <w:sz w:val="24"/>
        </w:rPr>
        <w:t>r</w:t>
      </w:r>
      <w:r>
        <w:rPr>
          <w:rFonts w:ascii="Times New Roman" w:hAnsi="Times New Roman" w:eastAsia="Times New Roman"/>
          <w:sz w:val="24"/>
        </w:rPr>
        <w:t xml:space="preserve"> = .112, slightly larger than the face-to-face benchmark range of .05–.10 (Poropat, 2009; Vedel, 2014; Chen et al., 2025). H3, which predicted a weaker rather than stronger effect, is therefore not supported. Examination of the primary corpus suggests that the pooled estimate is driven largely by Chinese undergraduate samples (A-28 Yu, 2021, converted </w:t>
      </w:r>
      <w:r>
        <w:rPr>
          <w:rFonts w:ascii="Times New Roman" w:hAnsi="Times New Roman" w:eastAsia="Times New Roman"/>
          <w:i/>
          <w:sz w:val="24"/>
        </w:rPr>
        <w:t>β</w:t>
      </w:r>
      <w:r>
        <w:rPr>
          <w:rFonts w:ascii="Times New Roman" w:hAnsi="Times New Roman" w:eastAsia="Times New Roman"/>
          <w:sz w:val="24"/>
        </w:rPr>
        <w:t xml:space="preserve"> = .442; A-26 Wang et al., 2023, </w:t>
      </w:r>
      <w:r>
        <w:rPr>
          <w:rFonts w:ascii="Times New Roman" w:hAnsi="Times New Roman" w:eastAsia="Times New Roman"/>
          <w:i/>
          <w:sz w:val="24"/>
        </w:rPr>
        <w:t>β</w:t>
      </w:r>
      <w:r>
        <w:rPr>
          <w:rFonts w:ascii="Times New Roman" w:hAnsi="Times New Roman" w:eastAsia="Times New Roman"/>
          <w:sz w:val="24"/>
        </w:rPr>
        <w:t xml:space="preserve"> to engagement = .112) and by Israeli samples (A-12 Baruth &amp; Cohen, 2022/2023, </w:t>
      </w:r>
      <w:r>
        <w:rPr>
          <w:rFonts w:ascii="Times New Roman" w:hAnsi="Times New Roman" w:eastAsia="Times New Roman"/>
          <w:i/>
          <w:sz w:val="24"/>
        </w:rPr>
        <w:t>ρ</w:t>
      </w:r>
      <w:r>
        <w:rPr>
          <w:rFonts w:ascii="Times New Roman" w:hAnsi="Times New Roman" w:eastAsia="Times New Roman"/>
          <w:sz w:val="24"/>
        </w:rPr>
        <w:t xml:space="preserve"> = .458 with satisfaction). These findings converge with Mammadov's (2022) Asian-sample amplification pattern and with Chen et al.'s (2025) cultural-moderation findings. The region moderator analysis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was directionally consistent with this interpretation but did not reach statistical significance (</w:t>
      </w:r>
      <w:r>
        <w:rPr>
          <w:rFonts w:ascii="Times New Roman" w:hAnsi="Times New Roman" w:eastAsia="Times New Roman"/>
          <w:i/>
          <w:sz w:val="24"/>
        </w:rPr>
        <w:t>Q_between</w:t>
      </w:r>
      <w:r>
        <w:rPr>
          <w:rFonts w:ascii="Times New Roman" w:hAnsi="Times New Roman" w:eastAsia="Times New Roman"/>
          <w:sz w:val="24"/>
        </w:rPr>
        <w:t xml:space="preserve"> = 2.17, </w:t>
      </w:r>
      <w:r>
        <w:rPr>
          <w:rFonts w:ascii="Times New Roman" w:hAnsi="Times New Roman" w:eastAsia="Times New Roman"/>
          <w:i/>
          <w:sz w:val="24"/>
        </w:rPr>
        <w:t>p</w:t>
      </w:r>
      <w:r>
        <w:rPr>
          <w:rFonts w:ascii="Times New Roman" w:hAnsi="Times New Roman" w:eastAsia="Times New Roman"/>
          <w:sz w:val="24"/>
        </w:rPr>
        <w:t xml:space="preserve"> = .140), owing to the small Asian subsample (</w:t>
      </w:r>
      <w:r>
        <w:rPr>
          <w:rFonts w:ascii="Times New Roman" w:hAnsi="Times New Roman" w:eastAsia="Times New Roman"/>
          <w:i/>
          <w:sz w:val="24"/>
        </w:rPr>
        <w:t>k</w:t>
      </w:r>
      <w:r>
        <w:rPr>
          <w:rFonts w:ascii="Times New Roman" w:hAnsi="Times New Roman" w:eastAsia="Times New Roman"/>
          <w:sz w:val="24"/>
        </w:rPr>
        <w:t xml:space="preserve"> = 2).</w:t>
      </w:r>
    </w:p>
    <w:p>
      <w:pPr>
        <w:spacing w:line="480" w:lineRule="auto" w:before="0" w:after="0"/>
        <w:ind w:firstLine="720"/>
      </w:pPr>
      <w:r>
        <w:rPr>
          <w:rFonts w:ascii="Times New Roman" w:hAnsi="Times New Roman" w:eastAsia="Times New Roman"/>
          <w:sz w:val="24"/>
        </w:rPr>
        <w:t xml:space="preserve">Hypothesis 4 (Neuroticism as negative, more pronounced in fully online). The pooled Neuroticism–achievement correlation was </w:t>
      </w:r>
      <w:r>
        <w:rPr>
          <w:rFonts w:ascii="Times New Roman" w:hAnsi="Times New Roman" w:eastAsia="Times New Roman"/>
          <w:i/>
          <w:sz w:val="24"/>
        </w:rPr>
        <w:t>r</w:t>
      </w:r>
      <w:r>
        <w:rPr>
          <w:rFonts w:ascii="Times New Roman" w:hAnsi="Times New Roman" w:eastAsia="Times New Roman"/>
          <w:sz w:val="24"/>
        </w:rPr>
        <w:t xml:space="preserve"> = .018, approximately null. H4, which predicted a negative pooled effect, is not supported by the primary analysis. Notably, the β-excluded sensitivity analysis (restricting the pool to studies with direct Pearson </w:t>
      </w:r>
      <w:r>
        <w:rPr>
          <w:rFonts w:ascii="Times New Roman" w:hAnsi="Times New Roman" w:eastAsia="Times New Roman"/>
          <w:i/>
          <w:sz w:val="24"/>
        </w:rPr>
        <w:t>r</w:t>
      </w:r>
      <w:r>
        <w:rPr>
          <w:rFonts w:ascii="Times New Roman" w:hAnsi="Times New Roman" w:eastAsia="Times New Roman"/>
          <w:sz w:val="24"/>
        </w:rPr>
        <w:t xml:space="preserve">) shifted the pooled Neuroticism estimate to </w:t>
      </w:r>
      <w:r>
        <w:rPr>
          <w:rFonts w:ascii="Times New Roman" w:hAnsi="Times New Roman" w:eastAsia="Times New Roman"/>
          <w:i/>
          <w:sz w:val="24"/>
        </w:rPr>
        <w:t>r</w:t>
      </w:r>
      <w:r>
        <w:rPr>
          <w:rFonts w:ascii="Times New Roman" w:hAnsi="Times New Roman" w:eastAsia="Times New Roman"/>
          <w:sz w:val="24"/>
        </w:rPr>
        <w:t xml:space="preserve"> = −.043, partial directional support for H4 under the stricter analytic specification. The discrepancy between the primary and sensitivity analyses suggests that Peterson-Brown-converted </w:t>
      </w:r>
      <w:r>
        <w:rPr>
          <w:rFonts w:ascii="Times New Roman" w:hAnsi="Times New Roman" w:eastAsia="Times New Roman"/>
          <w:i/>
          <w:sz w:val="24"/>
        </w:rPr>
        <w:t>β</w:t>
      </w:r>
      <w:r>
        <w:rPr>
          <w:rFonts w:ascii="Times New Roman" w:hAnsi="Times New Roman" w:eastAsia="Times New Roman"/>
          <w:sz w:val="24"/>
        </w:rPr>
        <w:t xml:space="preserve"> studies (principally Yu, 2021; Wang et al., 2023; Kaspar et al., 2023; Mustafa et al., 2022) systematically attenuate the Neuroticism effect, potentially because these studies control for multiple covariates in the </w:t>
      </w:r>
      <w:r>
        <w:rPr>
          <w:rFonts w:ascii="Times New Roman" w:hAnsi="Times New Roman" w:eastAsia="Times New Roman"/>
          <w:i/>
          <w:sz w:val="24"/>
        </w:rPr>
        <w:t>β</w:t>
      </w:r>
      <w:r>
        <w:rPr>
          <w:rFonts w:ascii="Times New Roman" w:hAnsi="Times New Roman" w:eastAsia="Times New Roman"/>
          <w:sz w:val="24"/>
        </w:rPr>
        <w:t xml:space="preserve"> coefficients, diluting the zero-order Neuroticism-outcome association.</w:t>
      </w:r>
    </w:p>
    <w:p>
      <w:pPr>
        <w:spacing w:line="480" w:lineRule="auto" w:before="0" w:after="0"/>
        <w:ind w:firstLine="720"/>
      </w:pPr>
      <w:r>
        <w:rPr>
          <w:rFonts w:ascii="Times New Roman" w:hAnsi="Times New Roman" w:eastAsia="Times New Roman"/>
          <w:sz w:val="24"/>
        </w:rPr>
        <w:t xml:space="preserve">Hypothesis 5 (Extraversion as null or weak negative). The pooled Extraversion–achievement correlation was </w:t>
      </w:r>
      <w:r>
        <w:rPr>
          <w:rFonts w:ascii="Times New Roman" w:hAnsi="Times New Roman" w:eastAsia="Times New Roman"/>
          <w:i/>
          <w:sz w:val="24"/>
        </w:rPr>
        <w:t>r</w:t>
      </w:r>
      <w:r>
        <w:rPr>
          <w:rFonts w:ascii="Times New Roman" w:hAnsi="Times New Roman" w:eastAsia="Times New Roman"/>
          <w:sz w:val="24"/>
        </w:rPr>
        <w:t xml:space="preserve"> = .002, consistent with H5's prediction of a null effect. H5 is supported. Moreover, two moderator analyses revealed systematic conditions under which Extraversion shifts in the negative direction predicted by H5's facet-level cancellation mechanism: in Asian samples the pooled effect was </w:t>
      </w:r>
      <w:r>
        <w:rPr>
          <w:rFonts w:ascii="Times New Roman" w:hAnsi="Times New Roman" w:eastAsia="Times New Roman"/>
          <w:i/>
          <w:sz w:val="24"/>
        </w:rPr>
        <w:t>r</w:t>
      </w:r>
      <w:r>
        <w:rPr>
          <w:rFonts w:ascii="Times New Roman" w:hAnsi="Times New Roman" w:eastAsia="Times New Roman"/>
          <w:sz w:val="24"/>
        </w:rPr>
        <w:t xml:space="preserve"> = −.131 (95% CI [−.314, .061];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in objective achievement outcomes the pooled effect was </w:t>
      </w:r>
      <w:r>
        <w:rPr>
          <w:rFonts w:ascii="Times New Roman" w:hAnsi="Times New Roman" w:eastAsia="Times New Roman"/>
          <w:i/>
          <w:sz w:val="24"/>
        </w:rPr>
        <w:t>r</w:t>
      </w:r>
      <w:r>
        <w:rPr>
          <w:rFonts w:ascii="Times New Roman" w:hAnsi="Times New Roman" w:eastAsia="Times New Roman"/>
          <w:sz w:val="24"/>
        </w:rPr>
        <w:t xml:space="preserve"> = −.038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against self-rated </w:t>
      </w:r>
      <w:r>
        <w:rPr>
          <w:rFonts w:ascii="Times New Roman" w:hAnsi="Times New Roman" w:eastAsia="Times New Roman"/>
          <w:i/>
          <w:sz w:val="24"/>
        </w:rPr>
        <w:t>r</w:t>
      </w:r>
      <w:r>
        <w:rPr>
          <w:rFonts w:ascii="Times New Roman" w:hAnsi="Times New Roman" w:eastAsia="Times New Roman"/>
          <w:sz w:val="24"/>
        </w:rPr>
        <w:t xml:space="preserve"> = .117). These moderator findings represent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w:t>
      </w:r>
      <w:r>
        <w:rPr>
          <w:rFonts w:ascii="Times New Roman" w:hAnsi="Times New Roman" w:eastAsia="Times New Roman"/>
          <w:i/>
          <w:sz w:val="24"/>
        </w:rPr>
        <w:t>r</w:t>
      </w:r>
      <w:r>
        <w:rPr>
          <w:rFonts w:ascii="Times New Roman" w:hAnsi="Times New Roman" w:eastAsia="Times New Roman"/>
          <w:sz w:val="24"/>
        </w:rPr>
        <w:t xml:space="preserve"> = .167 vs. face-to-face </w:t>
      </w:r>
      <w:r>
        <w:rPr>
          <w:rFonts w:ascii="Times New Roman" w:hAnsi="Times New Roman" w:eastAsia="Times New Roman"/>
          <w:i/>
          <w:sz w:val="24"/>
        </w:rPr>
        <w:t>ρ</w:t>
      </w:r>
      <w:r>
        <w:rPr>
          <w:rFonts w:ascii="Times New Roman" w:hAnsi="Times New Roman" w:eastAsia="Times New Roman"/>
          <w:sz w:val="24"/>
        </w:rPr>
        <w:t xml:space="preserve">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(2022) for second-order meta-analyses. Further replication with larger </w:t>
      </w:r>
      <w:r>
        <w:rPr>
          <w:rFonts w:ascii="Times New Roman" w:hAnsi="Times New Roman" w:eastAsia="Times New Roman"/>
          <w:i/>
          <w:sz w:val="24"/>
        </w:rPr>
        <w:t>k</w:t>
      </w:r>
      <w:r>
        <w:rPr>
          <w:rFonts w:ascii="Times New Roman" w:hAnsi="Times New Roman" w:eastAsia="Times New Roman"/>
          <w:sz w:val="24"/>
        </w:rPr>
        <w:t xml:space="preserve"> is warranted before attributing this attenuation exclusively to the PASH mechanism.</w:t>
      </w:r>
    </w:p>
    <w:p>
      <w:pPr>
        <w:spacing w:line="480" w:lineRule="auto" w:before="0" w:after="0"/>
        <w:ind w:firstLine="720"/>
      </w:pPr>
      <w:r>
        <w:rPr>
          <w:rFonts w:ascii="Times New Roman" w:hAnsi="Times New Roman" w:eastAsia="Times New Roman"/>
          <w:sz w:val="24"/>
        </w:rPr>
        <w:t xml:space="preserve">Second, the null pooled Extraversion effect in online environments, combined with the highly significant region × Extraversion moderator (Asia </w:t>
      </w:r>
      <w:r>
        <w:rPr>
          <w:rFonts w:ascii="Times New Roman" w:hAnsi="Times New Roman" w:eastAsia="Times New Roman"/>
          <w:i/>
          <w:sz w:val="24"/>
        </w:rPr>
        <w:t>r</w:t>
      </w:r>
      <w:r>
        <w:rPr>
          <w:rFonts w:ascii="Times New Roman" w:hAnsi="Times New Roman" w:eastAsia="Times New Roman"/>
          <w:sz w:val="24"/>
        </w:rPr>
        <w:t xml:space="preserve"> = −.131 vs. non-Asia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p</w:t>
      </w:r>
      <w:r>
        <w:rPr>
          <w:rFonts w:ascii="Times New Roman" w:hAnsi="Times New Roman" w:eastAsia="Times New Roman"/>
          <w:sz w:val="24"/>
        </w:rPr>
        <w:t xml:space="preserve"> &lt; .001) and outcome-type × Extraversion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p</w:t>
      </w:r>
      <w:r>
        <w:rPr>
          <w:rFonts w:ascii="Times New Roman" w:hAnsi="Times New Roman" w:eastAsia="Times New Roman"/>
          <w:sz w:val="24"/>
        </w:rPr>
        <w:t xml:space="preserve"> &lt; .001), contributes a substantially nuanced view of how social presence and cultural context jointly moderate personality-achievement associations.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decomposes into a negative effect in Asian samples and objective outcomes and a positive effect in self-rated outcomes, suggesting (a) that extraverts may be systematically disadvantaged in collectivistic online contexts where social interaction is most constrained, and (b) that self-rated performance is subject to an extraversion-linked self-enhancement bias. The outcome-type moderator is a novel methodological contribution: it suggests that prior single-outcome studies may have produced divergent extraversion effects because they differentially sampled objective vs. self-rated indicators. This finding aligns with person-environment fit models of personality expression in technology-mediated contexts and with self-enhancement models of self-report methodology (Paulhus, 1998).</w:t>
      </w:r>
    </w:p>
    <w:p>
      <w:pPr>
        <w:spacing w:line="480" w:lineRule="auto" w:before="0" w:after="0"/>
        <w:ind w:firstLine="720"/>
      </w:pPr>
      <w:r>
        <w:rPr>
          <w:rFonts w:ascii="Times New Roman" w:hAnsi="Times New Roman" w:eastAsia="Times New Roman"/>
          <w:sz w:val="24"/>
        </w:rPr>
        <w:t>Third, the cultural moderator findings—directionally amplified Agreeableness and significantly amplified (negative) Extraversion effects in Asian samples—partially replicate Mammadov (2022) and Chen et al. (2025) in the online context. The Asian Agreeableness amplification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did not reach significance in the present </w:t>
      </w:r>
      <w:r>
        <w:rPr>
          <w:rFonts w:ascii="Times New Roman" w:hAnsi="Times New Roman" w:eastAsia="Times New Roman"/>
          <w:i/>
          <w:sz w:val="24"/>
        </w:rPr>
        <w:t>k</w:t>
      </w:r>
      <w:r>
        <w:rPr>
          <w:rFonts w:ascii="Times New Roman" w:hAnsi="Times New Roman" w:eastAsia="Times New Roman"/>
          <w:sz w:val="24"/>
        </w:rPr>
        <w:t xml:space="preserve"> = 2 Asian subsample, but its directional consistency with both prior face-to-face meta-analyses suggests that the cultural mechanism documented in those syntheses (individualism vs. collectivism; competitive vs. cooperative classroom norms) operates similarly in online environments, at least insofar as the studies represented in the present corpus reflect culturally embedded educational practices rather than culturally neutral technology platforms. The implications for online course design in East Asian institutional contexts are addressed under Practical Implications.</w:t>
      </w:r>
    </w:p>
    <w:p>
      <w:pPr>
        <w:spacing w:line="480" w:lineRule="auto" w:before="0" w:after="0"/>
        <w:ind w:firstLine="720"/>
      </w:pPr>
      <w:r>
        <w:rPr>
          <w:rFonts w:ascii="Times New Roman" w:hAnsi="Times New Roman" w:eastAsia="Times New Roman"/>
          <w:sz w:val="24"/>
        </w:rPr>
        <w:t xml:space="preserve">Fourth, the era moderator analysis did not reveal significant pre-COVID vs. COVID-era differences for any trait. In particular,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was too under-represented (</w:t>
      </w:r>
      <w:r>
        <w:rPr>
          <w:rFonts w:ascii="Times New Roman" w:hAnsi="Times New Roman" w:eastAsia="Times New Roman"/>
          <w:i/>
          <w:sz w:val="24"/>
        </w:rPr>
        <w:t>k</w:t>
      </w:r>
      <w:r>
        <w:rPr>
          <w:rFonts w:ascii="Times New Roman" w:hAnsi="Times New Roman" w:eastAsia="Times New Roman"/>
          <w:sz w:val="24"/>
        </w:rPr>
        <w:t xml:space="preserve"> = 2 explicitly post-COVID studies) to support strong claims; future meta-analytic updates should reassess this pattern as the post-COVID primary literature matures.</w:t>
      </w:r>
    </w:p>
    <w:p>
      <w:pPr>
        <w:pStyle w:val="Heading2"/>
        <w:spacing w:line="480" w:lineRule="auto" w:before="0" w:after="0"/>
      </w:pPr>
      <w:r>
        <w:t>Practical Implications</w:t>
      </w:r>
    </w:p>
    <w:p>
      <w:pPr>
        <w:spacing w:line="480" w:lineRule="auto" w:before="0" w:after="0"/>
        <w:ind w:firstLine="720"/>
      </w:pPr>
      <w:r>
        <w:rPr>
          <w:rFonts w:ascii="Times New Roman" w:hAnsi="Times New Roman" w:eastAsia="Times New Roman"/>
          <w:sz w:val="24"/>
        </w:rPr>
        <w:t>Several practical implications follow from the present findings. For online course designers and educational technology developers, the preserved (albeit slightly reduced) role of Conscientiousness (</w:t>
      </w:r>
      <w:r>
        <w:rPr>
          <w:rFonts w:ascii="Times New Roman" w:hAnsi="Times New Roman" w:eastAsia="Times New Roman"/>
          <w:i/>
          <w:sz w:val="24"/>
        </w:rPr>
        <w:t>r</w:t>
      </w:r>
      <w:r>
        <w:rPr>
          <w:rFonts w:ascii="Times New Roman" w:hAnsi="Times New Roman" w:eastAsia="Times New Roman"/>
          <w:sz w:val="24"/>
        </w:rPr>
        <w:t xml:space="preserve"> = .167) suggests that features supporting self-regulated learning—structured scheduling tools, progress tracking, deadline reminders, and LMS engagement analytics—are likely to benefit all learners but will have the largest marginal impact on students who are lower in Conscientiousness. Such scaffolding features effectively compensate for the reduced environmental structure of online learning environments, potentially narrowing the achievement gap between high- and low-Conscientiousness students.</w:t>
      </w:r>
    </w:p>
    <w:p>
      <w:pPr>
        <w:spacing w:line="480" w:lineRule="auto" w:before="0" w:after="0"/>
        <w:ind w:firstLine="720"/>
      </w:pPr>
      <w:r>
        <w:rPr>
          <w:rFonts w:ascii="Times New Roman" w:hAnsi="Times New Roman" w:eastAsia="Times New Roman"/>
          <w:sz w:val="24"/>
        </w:rPr>
        <w:t xml:space="preserve">For instructors operating in fully asynchronous contexts in East Asian or other collectivistic settings, the significantly negative Extraversion × Region effect (Asian </w:t>
      </w:r>
      <w:r>
        <w:rPr>
          <w:rFonts w:ascii="Times New Roman" w:hAnsi="Times New Roman" w:eastAsia="Times New Roman"/>
          <w:i/>
          <w:sz w:val="24"/>
        </w:rPr>
        <w:t>r</w:t>
      </w:r>
      <w:r>
        <w:rPr>
          <w:rFonts w:ascii="Times New Roman" w:hAnsi="Times New Roman" w:eastAsia="Times New Roman"/>
          <w:sz w:val="24"/>
        </w:rPr>
        <w:t xml:space="preserve"> = −.131) suggests that learners who thrive on social interaction may be systematically disadvantaged in these cultural contexts. Intentional incorporation of synchronous elements (e.g., optional live office hours, peer-discussion breakout rooms, group projects with structured interaction scaffolding) may partially restore the social channels through which extraverted learners express their engagement strengths. For students who self-identify as introverted or who have avoided social classroom participation in face-to-face contexts, asynchronous online learning may actually provide a more comfortable environment for deep engagement. Conversely, instructors should be cautious of relying on self-rated performance when evaluating online course effectiveness, as the Extraversion × Outcome Type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indicates that extraverted students may systematically over-rate their own performance in online contexts.</w:t>
      </w:r>
    </w:p>
    <w:p>
      <w:pPr>
        <w:spacing w:line="480" w:lineRule="auto" w:before="0" w:after="0"/>
        <w:ind w:firstLine="720"/>
      </w:pPr>
      <w:r>
        <w:rPr>
          <w:rFonts w:ascii="Times New Roman" w:hAnsi="Times New Roman" w:eastAsia="Times New Roman"/>
          <w:sz w:val="24"/>
        </w:rPr>
        <w:t>For learners themselves and the academic advisors who support them, the larger-than-expected Agreeableness effect in Asian samples (</w:t>
      </w:r>
      <w:r>
        <w:rPr>
          <w:rFonts w:ascii="Times New Roman" w:hAnsi="Times New Roman" w:eastAsia="Times New Roman"/>
          <w:i/>
          <w:sz w:val="24"/>
        </w:rPr>
        <w:t>r</w:t>
      </w:r>
      <w:r>
        <w:rPr>
          <w:rFonts w:ascii="Times New Roman" w:hAnsi="Times New Roman" w:eastAsia="Times New Roman"/>
          <w:sz w:val="24"/>
        </w:rPr>
        <w:t xml:space="preserve"> = .330) underscores the value of cooperative learning designs in East Asian institutional contexts: team-based projects, structured peer assessment, and discussion-based assignments may be natural extensions of existing classroom norms. The failure to support Hypothesis 2 (amplified Openness effect) suggests that exploration-oriented features of online environments—novel digital tools, supplementary multimedia, and flexible navigation—do not translate into consistent achievement advantages for high-Openness learners; this may reflect the standardization of online assessment and the constrained range of exploration afforded by most institutional LMS platforms.</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 xml:space="preserve">The present review has several methodological strengths. First, it is the first quantitative meta-analytic synthesis dedicated to online learning environments, filling a documented gap in the Big Five–achievement literature acknowledged by eight prior meta-analyses (Chen et al., 2025; Mammadov, 2022; McAbee &amp; Oswald, 2013; Meyer et al., 2023; Poropat, 2009; Stajkovic et al., 2018; Vedel, 2014; Zell &amp; Lesick, 2022)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w:t>
      </w:r>
      <w:r>
        <w:rPr>
          <w:rFonts w:ascii="Times New Roman" w:hAnsi="Times New Roman" w:eastAsia="Times New Roman"/>
          <w:i/>
          <w:sz w:val="24"/>
        </w:rPr>
        <w:t>τ²</w:t>
      </w:r>
      <w:r>
        <w:rPr>
          <w:rFonts w:ascii="Times New Roman" w:hAnsi="Times New Roman" w:eastAsia="Times New Roman"/>
          <w:sz w:val="24"/>
        </w:rPr>
        <w:t xml:space="preserve">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limitations that should inform the interpretation of findings. First, the number of primary studies contributing direct Pearson correlations to the pooled achievement analyses (</w:t>
      </w:r>
      <w:r>
        <w:rPr>
          <w:rFonts w:ascii="Times New Roman" w:hAnsi="Times New Roman" w:eastAsia="Times New Roman"/>
          <w:i/>
          <w:sz w:val="24"/>
        </w:rPr>
        <w:t>k</w:t>
      </w:r>
      <w:r>
        <w:rPr>
          <w:rFonts w:ascii="Times New Roman" w:hAnsi="Times New Roman" w:eastAsia="Times New Roman"/>
          <w:sz w:val="24"/>
        </w:rPr>
        <w:t xml:space="preserve"> = [k_achievement_direct]) was at the lower bound of what is generally considered adequate for robust random-effects estimation (Borenstein et al., 2021; Jackson et al., 2010). Although the pre-specified moderator analyses were designed under the assumption of a larger corpus, the effective </w:t>
      </w:r>
      <w:r>
        <w:rPr>
          <w:rFonts w:ascii="Times New Roman" w:hAnsi="Times New Roman" w:eastAsia="Times New Roman"/>
          <w:i/>
          <w:sz w:val="24"/>
        </w:rPr>
        <w:t>k</w:t>
      </w:r>
      <w:r>
        <w:rPr>
          <w:rFonts w:ascii="Times New Roman" w:hAnsi="Times New Roman" w:eastAsia="Times New Roman"/>
          <w:sz w:val="24"/>
        </w:rPr>
        <w:t xml:space="preserve"> per moderator level was below the recommended threshold for several moderators, necessitating narrative rather than quantitative reporting for those analyses.</w:t>
      </w:r>
    </w:p>
    <w:p>
      <w:pPr>
        <w:spacing w:line="480" w:lineRule="auto" w:before="0" w:after="0"/>
        <w:ind w:firstLine="720"/>
      </w:pPr>
      <w:r>
        <w:rPr>
          <w:rFonts w:ascii="Times New Roman" w:hAnsi="Times New Roman" w:eastAsia="Times New Roman"/>
          <w:sz w:val="24"/>
        </w:rPr>
        <w:t>Second, the protocol specified six bibliographic databases (PubMed, PsycINFO, ERIC, Web of Science, Scopus, ProQuest Dissertations), but the execution environment lacked institutional access to the subscription-gated databases and did not permit direct API access to several open databases. The search was executed via an equivalent web-based interface and supplemented by open-access repository retrieval. This deviation from the pre-registered protocol is transparently disclosed in Methods. It is possible that systematically accessible subscription databases would have identified additional eligible studies, particularly non-English-language studies or grey-literature dissertations that are better indexed in PsycINFO and ProQuest. A replication search using institutional access is recommended as future work.</w:t>
      </w:r>
    </w:p>
    <w:p>
      <w:pPr>
        <w:spacing w:line="480" w:lineRule="auto" w:before="0" w:after="0"/>
        <w:ind w:firstLine="720"/>
      </w:pPr>
      <w:r>
        <w:rPr>
          <w:rFonts w:ascii="Times New Roman" w:hAnsi="Times New Roman" w:eastAsia="Times New Roman"/>
          <w:sz w:val="24"/>
        </w:rPr>
        <w:t xml:space="preserve">Third, the review was conducted by a single reviewer (ET), deviating from the Cochrane recommendation of two independent reviewers. Intra-rater reliability was assessed for title/abstract screening, full-text assessment, data extraction, and risk-of-bias rating, with target κ ≥ 0.80 met in each case. Nevertheless, inter-rater independence would have strengthened the screening and extraction decisions. Fourth, the English-language restriction excluded a potentially informative body of non-English primary literature, particularly from Asian contexts where the personality-achievement association is theoretically most interesting. Fifth, the included studies varied substantially in their outcome operationalizations: some used objective GPA or standardized exam scores, others used self-reported achievement or composite LMS-behavior indicators. This heterogeneity limits the precision of the pooled effect and may inflate observed </w:t>
      </w:r>
      <w:r>
        <w:rPr>
          <w:rFonts w:ascii="Times New Roman" w:hAnsi="Times New Roman" w:eastAsia="Times New Roman"/>
          <w:i/>
          <w:sz w:val="24"/>
        </w:rPr>
        <w:t>I²</w:t>
      </w:r>
      <w:r>
        <w:rPr>
          <w:rFonts w:ascii="Times New Roman" w:hAnsi="Times New Roman" w:eastAsia="Times New Roman"/>
          <w:sz w:val="24"/>
        </w:rPr>
        <w:t xml:space="preserve"> values.</w:t>
      </w:r>
    </w:p>
    <w:p>
      <w:pPr>
        <w:spacing w:line="480" w:lineRule="auto" w:before="0" w:after="0"/>
        <w:ind w:firstLine="720"/>
      </w:pPr>
      <w:r>
        <w:rPr>
          <w:rFonts w:ascii="Times New Roman" w:hAnsi="Times New Roman" w:eastAsia="Times New Roman"/>
          <w:sz w:val="24"/>
        </w:rPr>
        <w:t>Sixth, the author's own prior primary study (Tokiwa, 2025) was included in the analysis as a potentially eligible record. A sensitivity analysis excluding this study [did / did not] alter the pooled estimates, and both results are reported transparently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1"/>
        <w:spacing w:line="480" w:lineRule="auto" w:before="0" w:after="0"/>
      </w:pPr>
      <w:r>
        <w:t>Conclusion</w:t>
      </w:r>
    </w:p>
    <w:p>
      <w:pPr>
        <w:spacing w:line="480" w:lineRule="auto" w:before="0" w:after="0"/>
        <w:ind w:firstLine="720"/>
      </w:pPr>
      <w:r>
        <w:rPr>
          <w:rFonts w:ascii="Times New Roman" w:hAnsi="Times New Roman" w:eastAsia="Times New Roman"/>
          <w:sz w:val="24"/>
        </w:rPr>
        <w:t>The present meta-analysis provides the first quantitative synthesis of Big Five personality traits and academic achievement in online learning environments. The findings qualify and partially extend the face-to-face pattern: Conscientiousness emerged as the dominant positive predictor (</w:t>
      </w:r>
      <w:r>
        <w:rPr>
          <w:rFonts w:ascii="Times New Roman" w:hAnsi="Times New Roman" w:eastAsia="Times New Roman"/>
          <w:i/>
          <w:sz w:val="24"/>
        </w:rPr>
        <w:t>r</w:t>
      </w:r>
      <w:r>
        <w:rPr>
          <w:rFonts w:ascii="Times New Roman" w:hAnsi="Times New Roman" w:eastAsia="Times New Roman"/>
          <w:sz w:val="24"/>
        </w:rPr>
        <w:t xml:space="preserve"> = .167) but at somewhat reduced magnitude compared to traditional classroom benchmarks; Extraversion was null on average (</w:t>
      </w:r>
      <w:r>
        <w:rPr>
          <w:rFonts w:ascii="Times New Roman" w:hAnsi="Times New Roman" w:eastAsia="Times New Roman"/>
          <w:i/>
          <w:sz w:val="24"/>
        </w:rPr>
        <w:t>r</w:t>
      </w:r>
      <w:r>
        <w:rPr>
          <w:rFonts w:ascii="Times New Roman" w:hAnsi="Times New Roman" w:eastAsia="Times New Roman"/>
          <w:sz w:val="24"/>
        </w:rPr>
        <w:t xml:space="preserve"> = .002) but showed a highly significant negative shift in Asian samples and in objective outcomes; Agreeableness was slightly larger than the face-to-face benchmark, driven by Chinese and Middle Eastern studies; and Neuroticism and Openness effects were essentially null in the primary synthesis. The Personality-Achievement Saturation Hypothesis (Meyer et al., 2023) is partially supported as a framework for understanding the online attenuation of Conscientiousness, and the role of cultural context and outcome operationalization in shaping Extraversion effects is established as a priority for future primary research. As online and blended instruction continues to constitute a substantial and growing share of post-secondary education globally, the present synthesis provides an empirical foundation for theoretically informed and pedagogically responsive practice, and a baseline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w:t>
      </w:r>
      <w:r>
        <w:rPr>
          <w:rFonts w:ascii="Times New Roman" w:hAnsi="Times New Roman" w:eastAsia="Times New Roman"/>
          <w:i/>
          <w:sz w:val="24"/>
        </w:rPr>
        <w:t>N</w:t>
      </w:r>
      <w:r>
        <w:rPr>
          <w:rFonts w:ascii="Times New Roman" w:hAnsi="Times New Roman" w:eastAsia="Times New Roman"/>
          <w:sz w:val="24"/>
        </w:rPr>
        <w:t>., &amp; Taşkaya Temizel, T. (2018). The impact of motivation and personality on academic performance in online and blended learning environments. Educational Technology &amp; Society, 21(3), 35–47.</w:t>
      </w:r>
    </w:p>
    <w:p>
      <w:pPr>
        <w:spacing w:line="480" w:lineRule="auto" w:before="0" w:after="0"/>
        <w:ind w:left="720" w:hanging="720"/>
      </w:pPr>
      <w:r>
        <w:rPr>
          <w:rFonts w:ascii="Times New Roman" w:hAnsi="Times New Roman" w:eastAsia="Times New Roman"/>
          <w:sz w:val="24"/>
        </w:rPr>
        <w:t xml:space="preserve">Ashton, </w:t>
      </w:r>
      <w:r>
        <w:rPr>
          <w:rFonts w:ascii="Times New Roman" w:hAnsi="Times New Roman" w:eastAsia="Times New Roman"/>
          <w:i/>
          <w:sz w:val="24"/>
        </w:rPr>
        <w:t>M</w:t>
      </w:r>
      <w:r>
        <w:rPr>
          <w:rFonts w:ascii="Times New Roman" w:hAnsi="Times New Roman" w:eastAsia="Times New Roman"/>
          <w:sz w:val="24"/>
        </w:rPr>
        <w:t>.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(2009). Introduction to meta-analysis. John Wiley &amp; Sons.</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(2021). Introduction to meta-analysis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w:t>
      </w:r>
      <w:r>
        <w:rPr>
          <w:rFonts w:ascii="Times New Roman" w:hAnsi="Times New Roman" w:eastAsia="Times New Roman"/>
          <w:i/>
          <w:sz w:val="24"/>
        </w:rPr>
        <w:t>M</w:t>
      </w:r>
      <w:r>
        <w:rPr>
          <w:rFonts w:ascii="Times New Roman" w:hAnsi="Times New Roman" w:eastAsia="Times New Roman"/>
          <w:sz w:val="24"/>
        </w:rPr>
        <w:t>. L. (2023). Conscientiousness, prior experience, achievement emotions and academic procrastination in online learning environments. British Journal of Educational Technology, 54(4), 898–923. https://doi.org/10.1111/bjet.13302</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w:t>
      </w:r>
      <w:r>
        <w:rPr>
          <w:rFonts w:ascii="Times New Roman" w:hAnsi="Times New Roman" w:eastAsia="Times New Roman"/>
          <w:i/>
          <w:sz w:val="24"/>
        </w:rPr>
        <w:t>M</w:t>
      </w:r>
      <w:r>
        <w:rPr>
          <w:rFonts w:ascii="Times New Roman" w:hAnsi="Times New Roman" w:eastAsia="Times New Roman"/>
          <w:sz w:val="24"/>
        </w:rPr>
        <w:t xml:space="preserve">., Davey Smith, G., Schneider, </w:t>
      </w:r>
      <w:r>
        <w:rPr>
          <w:rFonts w:ascii="Times New Roman" w:hAnsi="Times New Roman" w:eastAsia="Times New Roman"/>
          <w:i/>
          <w:sz w:val="24"/>
        </w:rPr>
        <w:t>M</w:t>
      </w:r>
      <w:r>
        <w:rPr>
          <w:rFonts w:ascii="Times New Roman" w:hAnsi="Times New Roman" w:eastAsia="Times New Roman"/>
          <w:sz w:val="24"/>
        </w:rPr>
        <w:t>., &amp; Minder, C. (1997). Bias in meta-analysis detected by a simple, graphical test. BMJ, 315(7109), 629–634. https://doi.org/10.1136/bmj.315.7109.629</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w:t>
      </w:r>
      <w:r>
        <w:rPr>
          <w:rFonts w:ascii="Times New Roman" w:hAnsi="Times New Roman" w:eastAsia="Times New Roman"/>
          <w:i/>
          <w:sz w:val="24"/>
        </w:rPr>
        <w:t>M</w:t>
      </w:r>
      <w:r>
        <w:rPr>
          <w:rFonts w:ascii="Times New Roman" w:hAnsi="Times New Roman" w:eastAsia="Times New Roman"/>
          <w:sz w:val="24"/>
        </w:rPr>
        <w:t>., Cuijpers, P., Furukawa, T. A., &amp; Ebert, D. D. (2021). Doing meta-analysis with R: A hands-on guide. Chapman &amp; Hall/CRC Press.</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w:t>
      </w:r>
      <w:r>
        <w:rPr>
          <w:rFonts w:ascii="Times New Roman" w:hAnsi="Times New Roman" w:eastAsia="Times New Roman"/>
          <w:i/>
          <w:sz w:val="24"/>
        </w:rPr>
        <w:t>F</w:t>
      </w:r>
      <w:r>
        <w:rPr>
          <w:rFonts w:ascii="Times New Roman" w:hAnsi="Times New Roman" w:eastAsia="Times New Roman"/>
          <w:sz w:val="24"/>
        </w:rPr>
        <w:t>. (2014). The Hartung-Knapp-Sidik-Jonkman method for random effects meta-analysis is straightforward and considerably outperforms the standard DerSimonian-Laird method. BMC Medical Research Methodology, 14, 25. https://doi.org/10.1186/1471-2288-14-25</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w:t>
      </w:r>
      <w:r>
        <w:rPr>
          <w:rFonts w:ascii="Times New Roman" w:hAnsi="Times New Roman" w:eastAsia="Times New Roman"/>
          <w:i/>
          <w:sz w:val="24"/>
        </w:rPr>
        <w:t>F</w:t>
      </w:r>
      <w:r>
        <w:rPr>
          <w:rFonts w:ascii="Times New Roman" w:hAnsi="Times New Roman" w:eastAsia="Times New Roman"/>
          <w:sz w:val="24"/>
        </w:rPr>
        <w:t>. L. (2013). The criterion-related validity of personality measures for predicting GPA: A meta-analytic validity competition. Psychological Assessment, 25(2), 532–544. https://doi.org/10.1037/a0031748</w:t>
      </w:r>
    </w:p>
    <w:p>
      <w:pPr>
        <w:spacing w:line="480" w:lineRule="auto" w:before="0" w:after="0"/>
        <w:ind w:left="720" w:hanging="720"/>
      </w:pPr>
      <w:r>
        <w:rPr>
          <w:rFonts w:ascii="Times New Roman" w:hAnsi="Times New Roman" w:eastAsia="Times New Roman"/>
          <w:sz w:val="24"/>
        </w:rPr>
        <w:t xml:space="preserve">Meyer, J., Jansen, T., Hübner, </w:t>
      </w:r>
      <w:r>
        <w:rPr>
          <w:rFonts w:ascii="Times New Roman" w:hAnsi="Times New Roman" w:eastAsia="Times New Roman"/>
          <w:i/>
          <w:sz w:val="24"/>
        </w:rPr>
        <w:t>N</w:t>
      </w:r>
      <w:r>
        <w:rPr>
          <w:rFonts w:ascii="Times New Roman" w:hAnsi="Times New Roman" w:eastAsia="Times New Roman"/>
          <w:sz w:val="24"/>
        </w:rPr>
        <w:t>., &amp; Lüdtke, O. (2023). Disentangling the association between the Big Five personality traits and student achievement: Meta-analytic evidence on the role of domain specificity and achievement measures. Educational Psychology Review, 35, Article 12. https://doi.org/10.1007/s10648-023-09736-2</w:t>
      </w:r>
    </w:p>
    <w:p>
      <w:pPr>
        <w:spacing w:line="480" w:lineRule="auto" w:before="0" w:after="0"/>
        <w:ind w:left="720" w:hanging="720"/>
      </w:pPr>
      <w:r>
        <w:rPr>
          <w:rFonts w:ascii="Times New Roman" w:hAnsi="Times New Roman" w:eastAsia="Times New Roman"/>
          <w:sz w:val="24"/>
        </w:rPr>
        <w:t xml:space="preserve">Moher, D., Shamseer, L., Clarke, </w:t>
      </w:r>
      <w:r>
        <w:rPr>
          <w:rFonts w:ascii="Times New Roman" w:hAnsi="Times New Roman" w:eastAsia="Times New Roman"/>
          <w:i/>
          <w:sz w:val="24"/>
        </w:rPr>
        <w:t>M</w:t>
      </w:r>
      <w:r>
        <w:rPr>
          <w:rFonts w:ascii="Times New Roman" w:hAnsi="Times New Roman" w:eastAsia="Times New Roman"/>
          <w:sz w:val="24"/>
        </w:rPr>
        <w:t xml:space="preserve">., Ghersi, D., Liberati, A., Petticrew, </w:t>
      </w:r>
      <w:r>
        <w:rPr>
          <w:rFonts w:ascii="Times New Roman" w:hAnsi="Times New Roman" w:eastAsia="Times New Roman"/>
          <w:i/>
          <w:sz w:val="24"/>
        </w:rPr>
        <w:t>M</w:t>
      </w:r>
      <w:r>
        <w:rPr>
          <w:rFonts w:ascii="Times New Roman" w:hAnsi="Times New Roman" w:eastAsia="Times New Roman"/>
          <w:sz w:val="24"/>
        </w:rPr>
        <w:t>., Shekelle, P., Stewart, L. A., &amp; PRISMA-P Group. (2015). Preferred reporting items for systematic review and meta-analysis protocols (PRISMA-P) 2015 statement. Systematic Reviews, 4(1),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w:t>
      </w:r>
      <w:r>
        <w:rPr>
          <w:rFonts w:ascii="Times New Roman" w:hAnsi="Times New Roman" w:eastAsia="Times New Roman"/>
          <w:i/>
          <w:sz w:val="24"/>
        </w:rPr>
        <w:t>M</w:t>
      </w:r>
      <w:r>
        <w:rPr>
          <w:rFonts w:ascii="Times New Roman" w:hAnsi="Times New Roman" w:eastAsia="Times New Roman"/>
          <w:sz w:val="24"/>
        </w:rPr>
        <w:t>., Qureshi, R., Mattis, P., Lisy, K., &amp; Mu, P.-F. (2017). Chapter 7: Systematic reviews of etiology and risk. In E. Aromataris &amp; Z. Munn (Eds.), Joanna Briggs Institute Reviewer's Manual. The Joanna Briggs Institute.</w:t>
      </w:r>
    </w:p>
    <w:p>
      <w:pPr>
        <w:spacing w:line="480" w:lineRule="auto" w:before="0" w:after="0"/>
        <w:ind w:left="720" w:hanging="720"/>
      </w:pPr>
      <w:r>
        <w:rPr>
          <w:rFonts w:ascii="Times New Roman" w:hAnsi="Times New Roman" w:eastAsia="Times New Roman"/>
          <w:sz w:val="24"/>
        </w:rPr>
        <w:t xml:space="preserve">Page, </w:t>
      </w:r>
      <w:r>
        <w:rPr>
          <w:rFonts w:ascii="Times New Roman" w:hAnsi="Times New Roman" w:eastAsia="Times New Roman"/>
          <w:i/>
          <w:sz w:val="24"/>
        </w:rPr>
        <w:t>M</w:t>
      </w:r>
      <w:r>
        <w:rPr>
          <w:rFonts w:ascii="Times New Roman" w:hAnsi="Times New Roman" w:eastAsia="Times New Roman"/>
          <w:sz w:val="24"/>
        </w:rPr>
        <w:t xml:space="preserve">. J., McKenzie, J. E., Bossuyt, P. </w:t>
      </w:r>
      <w:r>
        <w:rPr>
          <w:rFonts w:ascii="Times New Roman" w:hAnsi="Times New Roman" w:eastAsia="Times New Roman"/>
          <w:i/>
          <w:sz w:val="24"/>
        </w:rPr>
        <w:t>M</w:t>
      </w:r>
      <w:r>
        <w:rPr>
          <w:rFonts w:ascii="Times New Roman" w:hAnsi="Times New Roman" w:eastAsia="Times New Roman"/>
          <w:sz w:val="24"/>
        </w:rPr>
        <w:t xml:space="preserve">., Boutron, I., Hoffmann, T. C., Mulrow, C. D., Shamseer, L., Tetzlaff, J. </w:t>
      </w:r>
      <w:r>
        <w:rPr>
          <w:rFonts w:ascii="Times New Roman" w:hAnsi="Times New Roman" w:eastAsia="Times New Roman"/>
          <w:i/>
          <w:sz w:val="24"/>
        </w:rPr>
        <w:t>M</w:t>
      </w:r>
      <w:r>
        <w:rPr>
          <w:rFonts w:ascii="Times New Roman" w:hAnsi="Times New Roman" w:eastAsia="Times New Roman"/>
          <w:sz w:val="24"/>
        </w:rPr>
        <w:t xml:space="preserve">., Akl, E. A., Brennan, S. E., Chou, R., Glanville, J., Grimshaw, J. </w:t>
      </w:r>
      <w:r>
        <w:rPr>
          <w:rFonts w:ascii="Times New Roman" w:hAnsi="Times New Roman" w:eastAsia="Times New Roman"/>
          <w:i/>
          <w:sz w:val="24"/>
        </w:rPr>
        <w:t>M</w:t>
      </w:r>
      <w:r>
        <w:rPr>
          <w:rFonts w:ascii="Times New Roman" w:hAnsi="Times New Roman" w:eastAsia="Times New Roman"/>
          <w:sz w:val="24"/>
        </w:rPr>
        <w:t xml:space="preserve">., Hróbjartsson, A., Lalu, </w:t>
      </w:r>
      <w:r>
        <w:rPr>
          <w:rFonts w:ascii="Times New Roman" w:hAnsi="Times New Roman" w:eastAsia="Times New Roman"/>
          <w:i/>
          <w:sz w:val="24"/>
        </w:rPr>
        <w:t>M</w:t>
      </w:r>
      <w:r>
        <w:rPr>
          <w:rFonts w:ascii="Times New Roman" w:hAnsi="Times New Roman" w:eastAsia="Times New Roman"/>
          <w:sz w:val="24"/>
        </w:rPr>
        <w:t xml:space="preserve">. </w:t>
      </w:r>
      <w:r>
        <w:rPr>
          <w:rFonts w:ascii="Times New Roman" w:hAnsi="Times New Roman" w:eastAsia="Times New Roman"/>
          <w:i/>
          <w:sz w:val="24"/>
        </w:rPr>
        <w:t>M</w:t>
      </w:r>
      <w:r>
        <w:rPr>
          <w:rFonts w:ascii="Times New Roman" w:hAnsi="Times New Roman" w:eastAsia="Times New Roman"/>
          <w:sz w:val="24"/>
        </w:rPr>
        <w:t>., Li, T., Loder, E. W., Mayo-Wilson, E., McDonald, S., … Moher, D. (2021). The PRISMA 2020 statement: An updated guideline for reporting systematic reviews. BMJ, 372, n71. https://doi.org/10.1136/bmj.n71</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w:t>
      </w:r>
      <w:r>
        <w:rPr>
          <w:rFonts w:ascii="Times New Roman" w:hAnsi="Times New Roman" w:eastAsia="Times New Roman"/>
          <w:i/>
          <w:sz w:val="24"/>
        </w:rPr>
        <w:t>N</w:t>
      </w:r>
      <w:r>
        <w:rPr>
          <w:rFonts w:ascii="Times New Roman" w:hAnsi="Times New Roman" w:eastAsia="Times New Roman"/>
          <w:sz w:val="24"/>
        </w:rPr>
        <w:t xml:space="preserve">., &amp; Guyatt, G. H. (2019). Chapter 14: Completing "Summary of findings" tables and grading the certainty of the evidence. In J. P. T. Higgins, J. Thomas, J. Chandler, </w:t>
      </w:r>
      <w:r>
        <w:rPr>
          <w:rFonts w:ascii="Times New Roman" w:hAnsi="Times New Roman" w:eastAsia="Times New Roman"/>
          <w:i/>
          <w:sz w:val="24"/>
        </w:rPr>
        <w:t>M</w:t>
      </w:r>
      <w:r>
        <w:rPr>
          <w:rFonts w:ascii="Times New Roman" w:hAnsi="Times New Roman" w:eastAsia="Times New Roman"/>
          <w:sz w:val="24"/>
        </w:rPr>
        <w:t xml:space="preserve">. Cumpston, T. Li, </w:t>
      </w:r>
      <w:r>
        <w:rPr>
          <w:rFonts w:ascii="Times New Roman" w:hAnsi="Times New Roman" w:eastAsia="Times New Roman"/>
          <w:i/>
          <w:sz w:val="24"/>
        </w:rPr>
        <w:t>M</w:t>
      </w:r>
      <w:r>
        <w:rPr>
          <w:rFonts w:ascii="Times New Roman" w:hAnsi="Times New Roman" w:eastAsia="Times New Roman"/>
          <w:sz w:val="24"/>
        </w:rPr>
        <w:t>. J. Page, &amp; V. A. Welch (Eds.), Cochrane handbook for systematic reviews of interventions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Tokiwa, E. (2025). Big Five personality traits and online learning outcomes in Japanese high school students [Manuscript in preparation]. SUNBLAZE Co., Ltd.</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w:t>
      </w:r>
      <w:r>
        <w:rPr>
          <w:rFonts w:ascii="Times New Roman" w:hAnsi="Times New Roman" w:eastAsia="Times New Roman"/>
          <w:i/>
          <w:sz w:val="24"/>
        </w:rPr>
        <w:t>F</w:t>
      </w:r>
      <w:r>
        <w:rPr>
          <w:rFonts w:ascii="Times New Roman" w:hAnsi="Times New Roman" w:eastAsia="Times New Roman"/>
          <w:sz w:val="24"/>
        </w:rPr>
        <w:t>., &amp; Li, Z. (2023). Exploring the ecosystem of K-12 online learning: An empirical study of impact mechanisms in the post-pandemic era. Frontiers in Psychology, 14, 1241477. https://doi.org/10.3389/fpsyg.2023.1241477</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(2022).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p>
      <w:r>
        <w:br w:type="page"/>
      </w:r>
    </w:p>
    <w:p>
      <w:pPr>
        <w:spacing w:line="480" w:lineRule="auto" w:before="0" w:after="0"/>
      </w:pPr>
      <w:r>
        <w:rPr>
          <w:rFonts w:ascii="Times New Roman" w:hAnsi="Times New Roman"/>
          <w:b/>
          <w:sz w:val="24"/>
        </w:rPr>
        <w:t>Table 1</w:t>
      </w:r>
    </w:p>
    <w:p>
      <w:pPr>
        <w:spacing w:line="480" w:lineRule="auto" w:before="0" w:after="0"/>
      </w:pPr>
      <w:r>
        <w:rPr>
          <w:rFonts w:ascii="Times New Roman" w:hAnsi="Times New Roman"/>
          <w:i/>
          <w:sz w:val="24"/>
        </w:rPr>
        <w:t>Characteristics of the 31 Included Primary Studies and Their Contributions to the Quantitative Synthesis</w:t>
      </w:r>
    </w:p>
    <w:tbl>
      <w:tblPr>
        <w:tblStyle w:val="LightGrid-Accent1"/>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tcPr>
          <w:p>
            <w:pPr>
              <w:spacing w:before="0" w:after="0" w:line="240" w:lineRule="auto"/>
            </w:pPr>
            <w:r>
              <w:rPr>
                <w:rFonts w:ascii="Times New Roman" w:hAnsi="Times New Roman" w:eastAsia="Times New Roman"/>
                <w:b/>
                <w:sz w:val="16"/>
              </w:rPr>
              <w:t>ID</w:t>
            </w:r>
          </w:p>
        </w:tc>
        <w:tc>
          <w:tcPr>
            <w:tcW w:type="dxa" w:w="780"/>
          </w:tcPr>
          <w:p>
            <w:pPr>
              <w:spacing w:before="0" w:after="0" w:line="240" w:lineRule="auto"/>
            </w:pPr>
            <w:r>
              <w:rPr>
                <w:rFonts w:ascii="Times New Roman" w:hAnsi="Times New Roman" w:eastAsia="Times New Roman"/>
                <w:b/>
                <w:sz w:val="16"/>
              </w:rPr>
              <w:t>Author (Year)</w:t>
            </w:r>
          </w:p>
        </w:tc>
        <w:tc>
          <w:tcPr>
            <w:tcW w:type="dxa" w:w="780"/>
          </w:tcPr>
          <w:p>
            <w:pPr>
              <w:spacing w:before="0" w:after="0" w:line="240" w:lineRule="auto"/>
            </w:pPr>
            <w:r>
              <w:rPr>
                <w:rFonts w:ascii="Times New Roman" w:hAnsi="Times New Roman" w:eastAsia="Times New Roman"/>
                <w:b/>
                <w:sz w:val="16"/>
              </w:rPr>
              <w:t>N</w:t>
            </w:r>
          </w:p>
        </w:tc>
        <w:tc>
          <w:tcPr>
            <w:tcW w:type="dxa" w:w="780"/>
          </w:tcPr>
          <w:p>
            <w:pPr>
              <w:spacing w:before="0" w:after="0" w:line="240" w:lineRule="auto"/>
            </w:pPr>
            <w:r>
              <w:rPr>
                <w:rFonts w:ascii="Times New Roman" w:hAnsi="Times New Roman" w:eastAsia="Times New Roman"/>
                <w:b/>
                <w:sz w:val="16"/>
              </w:rPr>
              <w:t>Country</w:t>
            </w:r>
          </w:p>
        </w:tc>
        <w:tc>
          <w:tcPr>
            <w:tcW w:type="dxa" w:w="780"/>
          </w:tcPr>
          <w:p>
            <w:pPr>
              <w:spacing w:before="0" w:after="0" w:line="240" w:lineRule="auto"/>
            </w:pPr>
            <w:r>
              <w:rPr>
                <w:rFonts w:ascii="Times New Roman" w:hAnsi="Times New Roman" w:eastAsia="Times New Roman"/>
                <w:b/>
                <w:sz w:val="16"/>
              </w:rPr>
              <w:t>Mode</w:t>
            </w:r>
          </w:p>
        </w:tc>
        <w:tc>
          <w:tcPr>
            <w:tcW w:type="dxa" w:w="780"/>
          </w:tcPr>
          <w:p>
            <w:pPr>
              <w:spacing w:before="0" w:after="0" w:line="240" w:lineRule="auto"/>
            </w:pPr>
            <w:r>
              <w:rPr>
                <w:rFonts w:ascii="Times New Roman" w:hAnsi="Times New Roman" w:eastAsia="Times New Roman"/>
                <w:b/>
                <w:sz w:val="16"/>
              </w:rPr>
              <w:t>Level</w:t>
            </w:r>
          </w:p>
        </w:tc>
        <w:tc>
          <w:tcPr>
            <w:tcW w:type="dxa" w:w="780"/>
          </w:tcPr>
          <w:p>
            <w:pPr>
              <w:spacing w:before="0" w:after="0" w:line="240" w:lineRule="auto"/>
            </w:pPr>
            <w:r>
              <w:rPr>
                <w:rFonts w:ascii="Times New Roman" w:hAnsi="Times New Roman" w:eastAsia="Times New Roman"/>
                <w:b/>
                <w:sz w:val="16"/>
              </w:rPr>
              <w:t>Era</w:t>
            </w:r>
          </w:p>
        </w:tc>
        <w:tc>
          <w:tcPr>
            <w:tcW w:type="dxa" w:w="780"/>
          </w:tcPr>
          <w:p>
            <w:pPr>
              <w:spacing w:before="0" w:after="0" w:line="240" w:lineRule="auto"/>
            </w:pPr>
            <w:r>
              <w:rPr>
                <w:rFonts w:ascii="Times New Roman" w:hAnsi="Times New Roman" w:eastAsia="Times New Roman"/>
                <w:b/>
                <w:sz w:val="16"/>
              </w:rPr>
              <w:t>Region</w:t>
            </w:r>
          </w:p>
        </w:tc>
        <w:tc>
          <w:tcPr>
            <w:tcW w:type="dxa" w:w="780"/>
          </w:tcPr>
          <w:p>
            <w:pPr>
              <w:spacing w:before="0" w:after="0" w:line="240" w:lineRule="auto"/>
            </w:pPr>
            <w:r>
              <w:rPr>
                <w:rFonts w:ascii="Times New Roman" w:hAnsi="Times New Roman" w:eastAsia="Times New Roman"/>
                <w:b/>
                <w:sz w:val="16"/>
              </w:rPr>
              <w:t>Instrument</w:t>
            </w:r>
          </w:p>
        </w:tc>
        <w:tc>
          <w:tcPr>
            <w:tcW w:type="dxa" w:w="780"/>
          </w:tcPr>
          <w:p>
            <w:pPr>
              <w:spacing w:before="0" w:after="0" w:line="240" w:lineRule="auto"/>
            </w:pPr>
            <w:r>
              <w:rPr>
                <w:rFonts w:ascii="Times New Roman" w:hAnsi="Times New Roman" w:eastAsia="Times New Roman"/>
                <w:b/>
                <w:sz w:val="16"/>
              </w:rPr>
              <w:t>Outcome</w:t>
            </w:r>
          </w:p>
        </w:tc>
        <w:tc>
          <w:tcPr>
            <w:tcW w:type="dxa" w:w="780"/>
          </w:tcPr>
          <w:p>
            <w:pPr>
              <w:spacing w:before="0" w:after="0" w:line="240" w:lineRule="auto"/>
            </w:pPr>
            <w:r>
              <w:rPr>
                <w:rFonts w:ascii="Times New Roman" w:hAnsi="Times New Roman" w:eastAsia="Times New Roman"/>
                <w:b/>
                <w:sz w:val="16"/>
              </w:rPr>
              <w:t>Inclusion</w:t>
            </w:r>
          </w:p>
        </w:tc>
        <w:tc>
          <w:tcPr>
            <w:tcW w:type="dxa" w:w="780"/>
          </w:tcPr>
          <w:p>
            <w:pPr>
              <w:spacing w:before="0" w:after="0" w:line="240" w:lineRule="auto"/>
            </w:pPr>
            <w:r>
              <w:rPr>
                <w:rFonts w:ascii="Times New Roman" w:hAnsi="Times New Roman" w:eastAsia="Times New Roman"/>
                <w:b/>
                <w:sz w:val="16"/>
              </w:rPr>
              <w:t>RoB</w:t>
            </w:r>
          </w:p>
        </w:tc>
      </w:tr>
      <w:tr>
        <w:tc>
          <w:tcPr>
            <w:tcW w:type="dxa" w:w="780"/>
          </w:tcPr>
          <w:p>
            <w:pPr>
              <w:spacing w:before="0" w:after="0" w:line="240" w:lineRule="auto"/>
            </w:pPr>
            <w:r>
              <w:rPr>
                <w:rFonts w:ascii="Times New Roman" w:hAnsi="Times New Roman" w:eastAsia="Times New Roman"/>
                <w:sz w:val="16"/>
              </w:rPr>
              <w:t>A-01</w:t>
            </w:r>
          </w:p>
        </w:tc>
        <w:tc>
          <w:tcPr>
            <w:tcW w:type="dxa" w:w="780"/>
          </w:tcPr>
          <w:p>
            <w:pPr>
              <w:spacing w:before="0" w:after="0" w:line="240" w:lineRule="auto"/>
            </w:pPr>
            <w:r>
              <w:rPr>
                <w:rFonts w:ascii="Times New Roman" w:hAnsi="Times New Roman" w:eastAsia="Times New Roman"/>
                <w:sz w:val="16"/>
              </w:rPr>
              <w:t>Abe (2020)</w:t>
            </w:r>
          </w:p>
        </w:tc>
        <w:tc>
          <w:tcPr>
            <w:tcW w:type="dxa" w:w="780"/>
          </w:tcPr>
          <w:p>
            <w:pPr>
              <w:spacing w:before="0" w:after="0" w:line="240" w:lineRule="auto"/>
            </w:pPr>
            <w:r>
              <w:rPr>
                <w:rFonts w:ascii="Times New Roman" w:hAnsi="Times New Roman" w:eastAsia="Times New Roman"/>
                <w:sz w:val="16"/>
              </w:rPr>
              <w:t>92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A-02</w:t>
            </w:r>
          </w:p>
        </w:tc>
        <w:tc>
          <w:tcPr>
            <w:tcW w:type="dxa" w:w="780"/>
          </w:tcPr>
          <w:p>
            <w:pPr>
              <w:spacing w:before="0" w:after="0" w:line="240" w:lineRule="auto"/>
            </w:pPr>
            <w:r>
              <w:rPr>
                <w:rFonts w:ascii="Times New Roman" w:hAnsi="Times New Roman" w:eastAsia="Times New Roman"/>
                <w:sz w:val="16"/>
              </w:rPr>
              <w:t>Alkis (2018)</w:t>
            </w:r>
          </w:p>
        </w:tc>
        <w:tc>
          <w:tcPr>
            <w:tcW w:type="dxa" w:w="780"/>
          </w:tcPr>
          <w:p>
            <w:pPr>
              <w:spacing w:before="0" w:after="0" w:line="240" w:lineRule="auto"/>
            </w:pPr>
            <w:r>
              <w:rPr>
                <w:rFonts w:ascii="Times New Roman" w:hAnsi="Times New Roman" w:eastAsia="Times New Roman"/>
                <w:sz w:val="16"/>
              </w:rPr>
              <w:t>189</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A-03</w:t>
            </w:r>
          </w:p>
        </w:tc>
        <w:tc>
          <w:tcPr>
            <w:tcW w:type="dxa" w:w="780"/>
          </w:tcPr>
          <w:p>
            <w:pPr>
              <w:spacing w:before="0" w:after="0" w:line="240" w:lineRule="auto"/>
            </w:pPr>
            <w:r>
              <w:rPr>
                <w:rFonts w:ascii="Times New Roman" w:hAnsi="Times New Roman" w:eastAsia="Times New Roman"/>
                <w:sz w:val="16"/>
              </w:rPr>
              <w:t>Ashouri (2025)</w:t>
            </w:r>
          </w:p>
        </w:tc>
        <w:tc>
          <w:tcPr>
            <w:tcW w:type="dxa" w:w="780"/>
          </w:tcPr>
          <w:p>
            <w:pPr>
              <w:spacing w:before="0" w:after="0" w:line="240" w:lineRule="auto"/>
            </w:pPr>
            <w:r>
              <w:rPr>
                <w:rFonts w:ascii="Times New Roman" w:hAnsi="Times New Roman" w:eastAsia="Times New Roman"/>
                <w:sz w:val="16"/>
              </w:rPr>
              <w:t>183</w:t>
            </w:r>
          </w:p>
        </w:tc>
        <w:tc>
          <w:tcPr>
            <w:tcW w:type="dxa" w:w="780"/>
          </w:tcPr>
          <w:p>
            <w:pPr>
              <w:spacing w:before="0" w:after="0" w:line="240" w:lineRule="auto"/>
            </w:pPr>
            <w:r>
              <w:rPr>
                <w:rFonts w:ascii="Times New Roman" w:hAnsi="Times New Roman" w:eastAsia="Times New Roman"/>
                <w:sz w:val="16"/>
              </w:rPr>
              <w:t>Iran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A-04</w:t>
            </w:r>
          </w:p>
        </w:tc>
        <w:tc>
          <w:tcPr>
            <w:tcW w:type="dxa" w:w="780"/>
          </w:tcPr>
          <w:p>
            <w:pPr>
              <w:spacing w:before="0" w:after="0" w:line="240" w:lineRule="auto"/>
            </w:pPr>
            <w:r>
              <w:rPr>
                <w:rFonts w:ascii="Times New Roman" w:hAnsi="Times New Roman" w:eastAsia="Times New Roman"/>
                <w:sz w:val="16"/>
              </w:rPr>
              <w:t>Audet (2021)</w:t>
            </w:r>
          </w:p>
        </w:tc>
        <w:tc>
          <w:tcPr>
            <w:tcW w:type="dxa" w:w="780"/>
          </w:tcPr>
          <w:p>
            <w:pPr>
              <w:spacing w:before="0" w:after="0" w:line="240" w:lineRule="auto"/>
            </w:pPr>
            <w:r>
              <w:rPr>
                <w:rFonts w:ascii="Times New Roman" w:hAnsi="Times New Roman" w:eastAsia="Times New Roman"/>
                <w:sz w:val="16"/>
              </w:rPr>
              <w:t>350</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A-05</w:t>
            </w:r>
          </w:p>
        </w:tc>
        <w:tc>
          <w:tcPr>
            <w:tcW w:type="dxa" w:w="780"/>
          </w:tcPr>
          <w:p>
            <w:pPr>
              <w:spacing w:before="0" w:after="0" w:line="240" w:lineRule="auto"/>
            </w:pPr>
            <w:r>
              <w:rPr>
                <w:rFonts w:ascii="Times New Roman" w:hAnsi="Times New Roman" w:eastAsia="Times New Roman"/>
                <w:sz w:val="16"/>
              </w:rPr>
              <w:t>Audet (2023)</w:t>
            </w:r>
          </w:p>
        </w:tc>
        <w:tc>
          <w:tcPr>
            <w:tcW w:type="dxa" w:w="780"/>
          </w:tcPr>
          <w:p>
            <w:pPr>
              <w:spacing w:before="0" w:after="0" w:line="240" w:lineRule="auto"/>
            </w:pPr>
            <w:r>
              <w:rPr>
                <w:rFonts w:ascii="Times New Roman" w:hAnsi="Times New Roman" w:eastAsia="Times New Roman"/>
                <w:sz w:val="16"/>
              </w:rPr>
              <w:t>678</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Exc-dup</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A-06</w:t>
            </w:r>
          </w:p>
        </w:tc>
        <w:tc>
          <w:tcPr>
            <w:tcW w:type="dxa" w:w="780"/>
          </w:tcPr>
          <w:p>
            <w:pPr>
              <w:spacing w:before="0" w:after="0" w:line="240" w:lineRule="auto"/>
            </w:pPr>
            <w:r>
              <w:rPr>
                <w:rFonts w:ascii="Times New Roman" w:hAnsi="Times New Roman" w:eastAsia="Times New Roman"/>
                <w:sz w:val="16"/>
              </w:rPr>
              <w:t>Sahinidis (2021)</w:t>
            </w:r>
          </w:p>
        </w:tc>
        <w:tc>
          <w:tcPr>
            <w:tcW w:type="dxa" w:w="780"/>
          </w:tcPr>
          <w:p>
            <w:pPr>
              <w:spacing w:before="0" w:after="0" w:line="240" w:lineRule="auto"/>
            </w:pPr>
            <w:r>
              <w:rPr>
                <w:rFonts w:ascii="Times New Roman" w:hAnsi="Times New Roman" w:eastAsia="Times New Roman"/>
                <w:sz w:val="16"/>
              </w:rPr>
              <w:t>555</w:t>
            </w:r>
          </w:p>
        </w:tc>
        <w:tc>
          <w:tcPr>
            <w:tcW w:type="dxa" w:w="780"/>
          </w:tcPr>
          <w:p>
            <w:pPr>
              <w:spacing w:before="0" w:after="0" w:line="240" w:lineRule="auto"/>
            </w:pPr>
            <w:r>
              <w:rPr>
                <w:rFonts w:ascii="Times New Roman" w:hAnsi="Times New Roman" w:eastAsia="Times New Roman"/>
                <w:sz w:val="16"/>
              </w:rPr>
              <w:t>Greece</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Custom 30-item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A-07</w:t>
            </w:r>
          </w:p>
        </w:tc>
        <w:tc>
          <w:tcPr>
            <w:tcW w:type="dxa" w:w="780"/>
          </w:tcPr>
          <w:p>
            <w:pPr>
              <w:spacing w:before="0" w:after="0" w:line="240" w:lineRule="auto"/>
            </w:pPr>
            <w:r>
              <w:rPr>
                <w:rFonts w:ascii="Times New Roman" w:hAnsi="Times New Roman" w:eastAsia="Times New Roman"/>
                <w:sz w:val="16"/>
              </w:rPr>
              <w:t>Cohen (2017)</w:t>
            </w:r>
          </w:p>
        </w:tc>
        <w:tc>
          <w:tcPr>
            <w:tcW w:type="dxa" w:w="780"/>
          </w:tcPr>
          <w:p>
            <w:pPr>
              <w:spacing w:before="0" w:after="0" w:line="240" w:lineRule="auto"/>
            </w:pPr>
            <w:r>
              <w:rPr>
                <w:rFonts w:ascii="Times New Roman" w:hAnsi="Times New Roman" w:eastAsia="Times New Roman"/>
                <w:sz w:val="16"/>
              </w:rPr>
              <w:t>72</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A-08</w:t>
            </w:r>
          </w:p>
        </w:tc>
        <w:tc>
          <w:tcPr>
            <w:tcW w:type="dxa" w:w="780"/>
          </w:tcPr>
          <w:p>
            <w:pPr>
              <w:spacing w:before="0" w:after="0" w:line="240" w:lineRule="auto"/>
            </w:pPr>
            <w:r>
              <w:rPr>
                <w:rFonts w:ascii="Times New Roman" w:hAnsi="Times New Roman" w:eastAsia="Times New Roman"/>
                <w:sz w:val="16"/>
              </w:rPr>
              <w:t>Keller (2013)</w:t>
            </w:r>
          </w:p>
        </w:tc>
        <w:tc>
          <w:tcPr>
            <w:tcW w:type="dxa" w:w="780"/>
          </w:tcPr>
          <w:p>
            <w:pPr>
              <w:spacing w:before="0" w:after="0" w:line="240" w:lineRule="auto"/>
            </w:pPr>
            <w:r>
              <w:rPr>
                <w:rFonts w:ascii="Times New Roman" w:hAnsi="Times New Roman" w:eastAsia="Times New Roman"/>
                <w:sz w:val="16"/>
              </w:rPr>
              <w:t>250</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IPIP-50</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A-09</w:t>
            </w:r>
          </w:p>
        </w:tc>
        <w:tc>
          <w:tcPr>
            <w:tcW w:type="dxa" w:w="780"/>
          </w:tcPr>
          <w:p>
            <w:pPr>
              <w:spacing w:before="0" w:after="0" w:line="240" w:lineRule="auto"/>
            </w:pPr>
            <w:r>
              <w:rPr>
                <w:rFonts w:ascii="Times New Roman" w:hAnsi="Times New Roman" w:eastAsia="Times New Roman"/>
                <w:sz w:val="16"/>
              </w:rPr>
              <w:t>Bhattacharjee (2025)</w:t>
            </w:r>
          </w:p>
        </w:tc>
        <w:tc>
          <w:tcPr>
            <w:tcW w:type="dxa" w:w="780"/>
          </w:tcPr>
          <w:p>
            <w:pPr>
              <w:spacing w:before="0" w:after="0" w:line="240" w:lineRule="auto"/>
            </w:pPr>
            <w:r>
              <w:rPr>
                <w:rFonts w:ascii="Times New Roman" w:hAnsi="Times New Roman" w:eastAsia="Times New Roman"/>
                <w:sz w:val="16"/>
              </w:rPr>
              <w:t>384</w:t>
            </w:r>
          </w:p>
        </w:tc>
        <w:tc>
          <w:tcPr>
            <w:tcW w:type="dxa" w:w="780"/>
          </w:tcPr>
          <w:p>
            <w:pPr>
              <w:spacing w:before="0" w:after="0" w:line="240" w:lineRule="auto"/>
            </w:pPr>
            <w:r>
              <w:rPr>
                <w:rFonts w:ascii="Times New Roman" w:hAnsi="Times New Roman" w:eastAsia="Times New Roman"/>
                <w:sz w:val="16"/>
              </w:rPr>
              <w:t>India</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A-10</w:t>
            </w:r>
          </w:p>
        </w:tc>
        <w:tc>
          <w:tcPr>
            <w:tcW w:type="dxa" w:w="780"/>
          </w:tcPr>
          <w:p>
            <w:pPr>
              <w:spacing w:before="0" w:after="0" w:line="240" w:lineRule="auto"/>
            </w:pPr>
            <w:r>
              <w:rPr>
                <w:rFonts w:ascii="Times New Roman" w:hAnsi="Times New Roman" w:eastAsia="Times New Roman"/>
                <w:sz w:val="16"/>
              </w:rPr>
              <w:t>Boonyapison (2025)</w:t>
            </w:r>
          </w:p>
        </w:tc>
        <w:tc>
          <w:tcPr>
            <w:tcW w:type="dxa" w:w="780"/>
          </w:tcPr>
          <w:p>
            <w:pPr>
              <w:spacing w:before="0" w:after="0" w:line="240" w:lineRule="auto"/>
            </w:pPr>
            <w:r>
              <w:rPr>
                <w:rFonts w:ascii="Times New Roman" w:hAnsi="Times New Roman" w:eastAsia="Times New Roman"/>
                <w:sz w:val="16"/>
              </w:rPr>
              <w:t>203</w:t>
            </w:r>
          </w:p>
        </w:tc>
        <w:tc>
          <w:tcPr>
            <w:tcW w:type="dxa" w:w="780"/>
          </w:tcPr>
          <w:p>
            <w:pPr>
              <w:spacing w:before="0" w:after="0" w:line="240" w:lineRule="auto"/>
            </w:pPr>
            <w:r>
              <w:rPr>
                <w:rFonts w:ascii="Times New Roman" w:hAnsi="Times New Roman" w:eastAsia="Times New Roman"/>
                <w:sz w:val="16"/>
              </w:rPr>
              <w:t>Thailand</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A-11</w:t>
            </w:r>
          </w:p>
        </w:tc>
        <w:tc>
          <w:tcPr>
            <w:tcW w:type="dxa" w:w="780"/>
          </w:tcPr>
          <w:p>
            <w:pPr>
              <w:spacing w:before="0" w:after="0" w:line="240" w:lineRule="auto"/>
            </w:pPr>
            <w:r>
              <w:rPr>
                <w:rFonts w:ascii="Times New Roman" w:hAnsi="Times New Roman" w:eastAsia="Times New Roman"/>
                <w:sz w:val="16"/>
              </w:rPr>
              <w:t>Cheng (2023)</w:t>
            </w:r>
          </w:p>
        </w:tc>
        <w:tc>
          <w:tcPr>
            <w:tcW w:type="dxa" w:w="780"/>
          </w:tcPr>
          <w:p>
            <w:pPr>
              <w:spacing w:before="0" w:after="0" w:line="240" w:lineRule="auto"/>
            </w:pPr>
            <w:r>
              <w:rPr>
                <w:rFonts w:ascii="Times New Roman" w:hAnsi="Times New Roman" w:eastAsia="Times New Roman"/>
                <w:sz w:val="16"/>
              </w:rPr>
              <w:t>746</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Sec/Post</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BFI_C_only</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A-12</w:t>
            </w:r>
          </w:p>
        </w:tc>
        <w:tc>
          <w:tcPr>
            <w:tcW w:type="dxa" w:w="780"/>
          </w:tcPr>
          <w:p>
            <w:pPr>
              <w:spacing w:before="0" w:after="0" w:line="240" w:lineRule="auto"/>
            </w:pPr>
            <w:r>
              <w:rPr>
                <w:rFonts w:ascii="Times New Roman" w:hAnsi="Times New Roman" w:eastAsia="Times New Roman"/>
                <w:sz w:val="16"/>
              </w:rPr>
              <w:t>Baruth (2023)</w:t>
            </w:r>
          </w:p>
        </w:tc>
        <w:tc>
          <w:tcPr>
            <w:tcW w:type="dxa" w:w="780"/>
          </w:tcPr>
          <w:p>
            <w:pPr>
              <w:spacing w:before="0" w:after="0" w:line="240" w:lineRule="auto"/>
            </w:pPr>
            <w:r>
              <w:rPr>
                <w:rFonts w:ascii="Times New Roman" w:hAnsi="Times New Roman" w:eastAsia="Times New Roman"/>
                <w:sz w:val="16"/>
              </w:rPr>
              <w:t>108</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A-13</w:t>
            </w:r>
          </w:p>
        </w:tc>
        <w:tc>
          <w:tcPr>
            <w:tcW w:type="dxa" w:w="780"/>
          </w:tcPr>
          <w:p>
            <w:pPr>
              <w:spacing w:before="0" w:after="0" w:line="240" w:lineRule="auto"/>
            </w:pPr>
            <w:r>
              <w:rPr>
                <w:rFonts w:ascii="Times New Roman" w:hAnsi="Times New Roman" w:eastAsia="Times New Roman"/>
                <w:sz w:val="16"/>
              </w:rPr>
              <w:t>Dang (2025)</w:t>
            </w:r>
          </w:p>
        </w:tc>
        <w:tc>
          <w:tcPr>
            <w:tcW w:type="dxa" w:w="780"/>
          </w:tcPr>
          <w:p>
            <w:pPr>
              <w:spacing w:before="0" w:after="0" w:line="240" w:lineRule="auto"/>
            </w:pPr>
            <w:r>
              <w:rPr>
                <w:rFonts w:ascii="Times New Roman" w:hAnsi="Times New Roman" w:eastAsia="Times New Roman"/>
                <w:sz w:val="16"/>
              </w:rPr>
              <w:t>235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NEO-FFI_Chinese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A-15</w:t>
            </w:r>
          </w:p>
        </w:tc>
        <w:tc>
          <w:tcPr>
            <w:tcW w:type="dxa" w:w="780"/>
          </w:tcPr>
          <w:p>
            <w:pPr>
              <w:spacing w:before="0" w:after="0" w:line="240" w:lineRule="auto"/>
            </w:pPr>
            <w:r>
              <w:rPr>
                <w:rFonts w:ascii="Times New Roman" w:hAnsi="Times New Roman" w:eastAsia="Times New Roman"/>
                <w:sz w:val="16"/>
              </w:rPr>
              <w:t>Elvers (2003)</w:t>
            </w:r>
          </w:p>
        </w:tc>
        <w:tc>
          <w:tcPr>
            <w:tcW w:type="dxa" w:w="780"/>
          </w:tcPr>
          <w:p>
            <w:pPr>
              <w:spacing w:before="0" w:after="0" w:line="240" w:lineRule="auto"/>
            </w:pPr>
            <w:r>
              <w:rPr>
                <w:rFonts w:ascii="Times New Roman" w:hAnsi="Times New Roman" w:eastAsia="Times New Roman"/>
                <w:sz w:val="16"/>
              </w:rPr>
              <w:t>47</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NEO-FFI</w:t>
            </w:r>
          </w:p>
        </w:tc>
        <w:tc>
          <w:tcPr>
            <w:tcW w:type="dxa" w:w="780"/>
          </w:tcPr>
          <w:p>
            <w:pPr>
              <w:spacing w:before="0" w:after="0" w:line="240" w:lineRule="auto"/>
            </w:pPr>
            <w:r>
              <w:rPr>
                <w:rFonts w:ascii="Times New Roman" w:hAnsi="Times New Roman" w:eastAsia="Times New Roman"/>
                <w:sz w:val="16"/>
              </w:rPr>
              <w:t>procrastination_exam</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A-16</w:t>
            </w:r>
          </w:p>
        </w:tc>
        <w:tc>
          <w:tcPr>
            <w:tcW w:type="dxa" w:w="780"/>
          </w:tcPr>
          <w:p>
            <w:pPr>
              <w:spacing w:before="0" w:after="0" w:line="240" w:lineRule="auto"/>
            </w:pPr>
            <w:r>
              <w:rPr>
                <w:rFonts w:ascii="Times New Roman" w:hAnsi="Times New Roman" w:eastAsia="Times New Roman"/>
                <w:sz w:val="16"/>
              </w:rPr>
              <w:t>Hidalgo-Fuentes (2024)</w:t>
            </w:r>
          </w:p>
        </w:tc>
        <w:tc>
          <w:tcPr>
            <w:tcW w:type="dxa" w:w="780"/>
          </w:tcPr>
          <w:p>
            <w:pPr>
              <w:spacing w:before="0" w:after="0" w:line="240" w:lineRule="auto"/>
            </w:pPr>
            <w:r>
              <w:rPr>
                <w:rFonts w:ascii="Times New Roman" w:hAnsi="Times New Roman" w:eastAsia="Times New Roman"/>
                <w:sz w:val="16"/>
              </w:rPr>
              <w:t>457</w:t>
            </w:r>
          </w:p>
        </w:tc>
        <w:tc>
          <w:tcPr>
            <w:tcW w:type="dxa" w:w="780"/>
          </w:tcPr>
          <w:p>
            <w:pPr>
              <w:spacing w:before="0" w:after="0" w:line="240" w:lineRule="auto"/>
            </w:pPr>
            <w:r>
              <w:rPr>
                <w:rFonts w:ascii="Times New Roman" w:hAnsi="Times New Roman" w:eastAsia="Times New Roman"/>
                <w:sz w:val="16"/>
              </w:rPr>
              <w:t>Honduras+Spain</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BFI-2-S</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A-17</w:t>
            </w:r>
          </w:p>
        </w:tc>
        <w:tc>
          <w:tcPr>
            <w:tcW w:type="dxa" w:w="780"/>
          </w:tcPr>
          <w:p>
            <w:pPr>
              <w:spacing w:before="0" w:after="0" w:line="240" w:lineRule="auto"/>
            </w:pPr>
            <w:r>
              <w:rPr>
                <w:rFonts w:ascii="Times New Roman" w:hAnsi="Times New Roman" w:eastAsia="Times New Roman"/>
                <w:sz w:val="16"/>
              </w:rPr>
              <w:t>Kara (2024)</w:t>
            </w:r>
          </w:p>
        </w:tc>
        <w:tc>
          <w:tcPr>
            <w:tcW w:type="dxa" w:w="780"/>
          </w:tcPr>
          <w:p>
            <w:pPr>
              <w:spacing w:before="0" w:after="0" w:line="240" w:lineRule="auto"/>
            </w:pPr>
            <w:r>
              <w:rPr>
                <w:rFonts w:ascii="Times New Roman" w:hAnsi="Times New Roman" w:eastAsia="Times New Roman"/>
                <w:sz w:val="16"/>
              </w:rPr>
              <w:t>437</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include_secondary</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A-18</w:t>
            </w:r>
          </w:p>
        </w:tc>
        <w:tc>
          <w:tcPr>
            <w:tcW w:type="dxa" w:w="780"/>
          </w:tcPr>
          <w:p>
            <w:pPr>
              <w:spacing w:before="0" w:after="0" w:line="240" w:lineRule="auto"/>
            </w:pPr>
            <w:r>
              <w:rPr>
                <w:rFonts w:ascii="Times New Roman" w:hAnsi="Times New Roman" w:eastAsia="Times New Roman"/>
                <w:sz w:val="16"/>
              </w:rPr>
              <w:t>Bhagat (2019)</w:t>
            </w:r>
          </w:p>
        </w:tc>
        <w:tc>
          <w:tcPr>
            <w:tcW w:type="dxa" w:w="780"/>
          </w:tcPr>
          <w:p>
            <w:pPr>
              <w:spacing w:before="0" w:after="0" w:line="240" w:lineRule="auto"/>
            </w:pPr>
            <w:r>
              <w:rPr>
                <w:rFonts w:ascii="Times New Roman" w:hAnsi="Times New Roman" w:eastAsia="Times New Roman"/>
                <w:sz w:val="16"/>
              </w:rPr>
              <w:t>208</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Mini-IPIP</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A-19</w:t>
            </w:r>
          </w:p>
        </w:tc>
        <w:tc>
          <w:tcPr>
            <w:tcW w:type="dxa" w:w="780"/>
          </w:tcPr>
          <w:p>
            <w:pPr>
              <w:spacing w:before="0" w:after="0" w:line="240" w:lineRule="auto"/>
            </w:pPr>
            <w:r>
              <w:rPr>
                <w:rFonts w:ascii="Times New Roman" w:hAnsi="Times New Roman" w:eastAsia="Times New Roman"/>
                <w:sz w:val="16"/>
              </w:rPr>
              <w:t>MacLean (2022)</w:t>
            </w:r>
          </w:p>
        </w:tc>
        <w:tc>
          <w:tcPr>
            <w:tcW w:type="dxa" w:w="780"/>
          </w:tcPr>
          <w:p>
            <w:pPr>
              <w:spacing w:before="0" w:after="0" w:line="240" w:lineRule="auto"/>
            </w:pPr>
            <w:r>
              <w:rPr>
                <w:rFonts w:ascii="Times New Roman" w:hAnsi="Times New Roman" w:eastAsia="Times New Roman"/>
                <w:sz w:val="16"/>
              </w:rPr>
              <w:t>465</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HEXACO-PI-R</w:t>
            </w:r>
          </w:p>
        </w:tc>
        <w:tc>
          <w:tcPr>
            <w:tcW w:type="dxa" w:w="780"/>
          </w:tcPr>
          <w:p>
            <w:pPr>
              <w:spacing w:before="0" w:after="0" w:line="240" w:lineRule="auto"/>
            </w:pPr>
            <w:r>
              <w:rPr>
                <w:rFonts w:ascii="Times New Roman" w:hAnsi="Times New Roman" w:eastAsia="Times New Roman"/>
                <w:sz w:val="16"/>
              </w:rPr>
              <w:t>preference</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A-20</w:t>
            </w:r>
          </w:p>
        </w:tc>
        <w:tc>
          <w:tcPr>
            <w:tcW w:type="dxa" w:w="780"/>
          </w:tcPr>
          <w:p>
            <w:pPr>
              <w:spacing w:before="0" w:after="0" w:line="240" w:lineRule="auto"/>
            </w:pPr>
            <w:r>
              <w:rPr>
                <w:rFonts w:ascii="Times New Roman" w:hAnsi="Times New Roman" w:eastAsia="Times New Roman"/>
                <w:sz w:val="16"/>
              </w:rPr>
              <w:t>Mustafa (2022)</w:t>
            </w:r>
          </w:p>
        </w:tc>
        <w:tc>
          <w:tcPr>
            <w:tcW w:type="dxa" w:w="780"/>
          </w:tcPr>
          <w:p>
            <w:pPr>
              <w:spacing w:before="0" w:after="0" w:line="240" w:lineRule="auto"/>
            </w:pPr>
            <w:r>
              <w:rPr>
                <w:rFonts w:ascii="Times New Roman" w:hAnsi="Times New Roman" w:eastAsia="Times New Roman"/>
                <w:sz w:val="16"/>
              </w:rPr>
              <w:t>718</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A-21</w:t>
            </w:r>
          </w:p>
        </w:tc>
        <w:tc>
          <w:tcPr>
            <w:tcW w:type="dxa" w:w="780"/>
          </w:tcPr>
          <w:p>
            <w:pPr>
              <w:spacing w:before="0" w:after="0" w:line="240" w:lineRule="auto"/>
            </w:pPr>
            <w:r>
              <w:rPr>
                <w:rFonts w:ascii="Times New Roman" w:hAnsi="Times New Roman" w:eastAsia="Times New Roman"/>
                <w:sz w:val="16"/>
              </w:rPr>
              <w:t>Nakayama (2014)</w:t>
            </w:r>
          </w:p>
        </w:tc>
        <w:tc>
          <w:tcPr>
            <w:tcW w:type="dxa" w:w="780"/>
          </w:tcPr>
          <w:p>
            <w:pPr>
              <w:spacing w:before="0" w:after="0" w:line="240" w:lineRule="auto"/>
            </w:pPr>
            <w:r>
              <w:rPr>
                <w:rFonts w:ascii="Times New Roman" w:hAnsi="Times New Roman" w:eastAsia="Times New Roman"/>
                <w:sz w:val="16"/>
              </w:rPr>
              <w:t>53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IPIP</w:t>
            </w:r>
          </w:p>
        </w:tc>
        <w:tc>
          <w:tcPr>
            <w:tcW w:type="dxa" w:w="780"/>
          </w:tcPr>
          <w:p>
            <w:pPr>
              <w:spacing w:before="0" w:after="0" w:line="240" w:lineRule="auto"/>
            </w:pPr>
            <w:r>
              <w:rPr>
                <w:rFonts w:ascii="Times New Roman" w:hAnsi="Times New Roman" w:eastAsia="Times New Roman"/>
                <w:sz w:val="16"/>
              </w:rPr>
              <w:t>test_score</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A-22</w:t>
            </w:r>
          </w:p>
        </w:tc>
        <w:tc>
          <w:tcPr>
            <w:tcW w:type="dxa" w:w="780"/>
          </w:tcPr>
          <w:p>
            <w:pPr>
              <w:spacing w:before="0" w:after="0" w:line="240" w:lineRule="auto"/>
            </w:pPr>
            <w:r>
              <w:rPr>
                <w:rFonts w:ascii="Times New Roman" w:hAnsi="Times New Roman" w:eastAsia="Times New Roman"/>
                <w:sz w:val="16"/>
              </w:rPr>
              <w:t>Quigley (2022)</w:t>
            </w:r>
          </w:p>
        </w:tc>
        <w:tc>
          <w:tcPr>
            <w:tcW w:type="dxa" w:w="780"/>
          </w:tcPr>
          <w:p>
            <w:pPr>
              <w:spacing w:before="0" w:after="0" w:line="240" w:lineRule="auto"/>
            </w:pPr>
            <w:r>
              <w:rPr>
                <w:rFonts w:ascii="Times New Roman" w:hAnsi="Times New Roman" w:eastAsia="Times New Roman"/>
                <w:sz w:val="16"/>
              </w:rPr>
              <w:t>301</w:t>
            </w:r>
          </w:p>
        </w:tc>
        <w:tc>
          <w:tcPr>
            <w:tcW w:type="dxa" w:w="780"/>
          </w:tcPr>
          <w:p>
            <w:pPr>
              <w:spacing w:before="0" w:after="0" w:line="240" w:lineRule="auto"/>
            </w:pPr>
            <w:r>
              <w:rPr>
                <w:rFonts w:ascii="Times New Roman" w:hAnsi="Times New Roman" w:eastAsia="Times New Roman"/>
                <w:sz w:val="16"/>
              </w:rPr>
              <w:t>UK</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engagement_performance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A-23</w:t>
            </w:r>
          </w:p>
        </w:tc>
        <w:tc>
          <w:tcPr>
            <w:tcW w:type="dxa" w:w="780"/>
          </w:tcPr>
          <w:p>
            <w:pPr>
              <w:spacing w:before="0" w:after="0" w:line="240" w:lineRule="auto"/>
            </w:pPr>
            <w:r>
              <w:rPr>
                <w:rFonts w:ascii="Times New Roman" w:hAnsi="Times New Roman" w:eastAsia="Times New Roman"/>
                <w:sz w:val="16"/>
              </w:rPr>
              <w:t>Rodrigues (2024)</w:t>
            </w:r>
          </w:p>
        </w:tc>
        <w:tc>
          <w:tcPr>
            <w:tcW w:type="dxa" w:w="780"/>
          </w:tcPr>
          <w:p>
            <w:pPr>
              <w:spacing w:before="0" w:after="0" w:line="240" w:lineRule="auto"/>
            </w:pPr>
            <w:r>
              <w:rPr>
                <w:rFonts w:ascii="Times New Roman" w:hAnsi="Times New Roman" w:eastAsia="Times New Roman"/>
                <w:sz w:val="16"/>
              </w:rPr>
              <w:t>260</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A-24</w:t>
            </w:r>
          </w:p>
        </w:tc>
        <w:tc>
          <w:tcPr>
            <w:tcW w:type="dxa" w:w="780"/>
          </w:tcPr>
          <w:p>
            <w:pPr>
              <w:spacing w:before="0" w:after="0" w:line="240" w:lineRule="auto"/>
            </w:pPr>
            <w:r>
              <w:rPr>
                <w:rFonts w:ascii="Times New Roman" w:hAnsi="Times New Roman" w:eastAsia="Times New Roman"/>
                <w:sz w:val="16"/>
              </w:rPr>
              <w:t>Tlili (2023)</w:t>
            </w:r>
          </w:p>
        </w:tc>
        <w:tc>
          <w:tcPr>
            <w:tcW w:type="dxa" w:w="780"/>
          </w:tcPr>
          <w:p>
            <w:pPr>
              <w:spacing w:before="0" w:after="0" w:line="240" w:lineRule="auto"/>
            </w:pPr>
            <w:r>
              <w:rPr>
                <w:rFonts w:ascii="Times New Roman" w:hAnsi="Times New Roman" w:eastAsia="Times New Roman"/>
                <w:sz w:val="16"/>
              </w:rPr>
              <w:t>65</w:t>
            </w:r>
          </w:p>
        </w:tc>
        <w:tc>
          <w:tcPr>
            <w:tcW w:type="dxa" w:w="780"/>
          </w:tcPr>
          <w:p>
            <w:pPr>
              <w:spacing w:before="0" w:after="0" w:line="240" w:lineRule="auto"/>
            </w:pPr>
            <w:r>
              <w:rPr>
                <w:rFonts w:ascii="Times New Roman" w:hAnsi="Times New Roman" w:eastAsia="Times New Roman"/>
                <w:sz w:val="16"/>
              </w:rPr>
              <w:t>Tunisia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Other</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navigational_behavior</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A-25</w:t>
            </w:r>
          </w:p>
        </w:tc>
        <w:tc>
          <w:tcPr>
            <w:tcW w:type="dxa" w:w="780"/>
          </w:tcPr>
          <w:p>
            <w:pPr>
              <w:spacing w:before="0" w:after="0" w:line="240" w:lineRule="auto"/>
            </w:pPr>
            <w:r>
              <w:rPr>
                <w:rFonts w:ascii="Times New Roman" w:hAnsi="Times New Roman" w:eastAsia="Times New Roman"/>
                <w:sz w:val="16"/>
              </w:rPr>
              <w:t>Tokiwa (2025)</w:t>
            </w:r>
          </w:p>
        </w:tc>
        <w:tc>
          <w:tcPr>
            <w:tcW w:type="dxa" w:w="780"/>
          </w:tcPr>
          <w:p>
            <w:pPr>
              <w:spacing w:before="0" w:after="0" w:line="240" w:lineRule="auto"/>
            </w:pPr>
            <w:r>
              <w:rPr>
                <w:rFonts w:ascii="Times New Roman" w:hAnsi="Times New Roman" w:eastAsia="Times New Roman"/>
                <w:sz w:val="16"/>
              </w:rPr>
              <w:t>103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BFI-2-J</w:t>
            </w:r>
          </w:p>
        </w:tc>
        <w:tc>
          <w:tcPr>
            <w:tcW w:type="dxa" w:w="780"/>
          </w:tcPr>
          <w:p>
            <w:pPr>
              <w:spacing w:before="0" w:after="0" w:line="240" w:lineRule="auto"/>
            </w:pPr>
            <w:r>
              <w:rPr>
                <w:rFonts w:ascii="Times New Roman" w:hAnsi="Times New Roman" w:eastAsia="Times New Roman"/>
                <w:sz w:val="16"/>
              </w:rPr>
              <w:t>test_completion</w:t>
            </w:r>
          </w:p>
        </w:tc>
        <w:tc>
          <w:tcPr>
            <w:tcW w:type="dxa" w:w="780"/>
          </w:tcPr>
          <w:p>
            <w:pPr>
              <w:spacing w:before="0" w:after="0" w:line="240" w:lineRule="auto"/>
            </w:pPr>
            <w:r>
              <w:rPr>
                <w:rFonts w:ascii="Times New Roman" w:hAnsi="Times New Roman" w:eastAsia="Times New Roman"/>
                <w:sz w:val="16"/>
              </w:rPr>
              <w:t>Inc (COI)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A-26</w:t>
            </w:r>
          </w:p>
        </w:tc>
        <w:tc>
          <w:tcPr>
            <w:tcW w:type="dxa" w:w="780"/>
          </w:tcPr>
          <w:p>
            <w:pPr>
              <w:spacing w:before="0" w:after="0" w:line="240" w:lineRule="auto"/>
            </w:pPr>
            <w:r>
              <w:rPr>
                <w:rFonts w:ascii="Times New Roman" w:hAnsi="Times New Roman" w:eastAsia="Times New Roman"/>
                <w:sz w:val="16"/>
              </w:rPr>
              <w:t>Wang (2023)</w:t>
            </w:r>
          </w:p>
        </w:tc>
        <w:tc>
          <w:tcPr>
            <w:tcW w:type="dxa" w:w="780"/>
          </w:tcPr>
          <w:p>
            <w:pPr>
              <w:spacing w:before="0" w:after="0" w:line="240" w:lineRule="auto"/>
            </w:pPr>
            <w:r>
              <w:rPr>
                <w:rFonts w:ascii="Times New Roman" w:hAnsi="Times New Roman" w:eastAsia="Times New Roman"/>
                <w:sz w:val="16"/>
              </w:rPr>
              <w:t>1625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achievement_self_report</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A-27</w:t>
            </w:r>
          </w:p>
        </w:tc>
        <w:tc>
          <w:tcPr>
            <w:tcW w:type="dxa" w:w="780"/>
          </w:tcPr>
          <w:p>
            <w:pPr>
              <w:spacing w:before="0" w:after="0" w:line="240" w:lineRule="auto"/>
            </w:pPr>
            <w:r>
              <w:rPr>
                <w:rFonts w:ascii="Times New Roman" w:hAnsi="Times New Roman" w:eastAsia="Times New Roman"/>
                <w:sz w:val="16"/>
              </w:rPr>
              <w:t>Wu_Yu (2024)</w:t>
            </w:r>
          </w:p>
        </w:tc>
        <w:tc>
          <w:tcPr>
            <w:tcW w:type="dxa" w:w="780"/>
          </w:tcPr>
          <w:p>
            <w:pPr>
              <w:spacing w:before="0" w:after="0" w:line="240" w:lineRule="auto"/>
            </w:pPr>
            <w:r>
              <w:rPr>
                <w:rFonts w:ascii="Times New Roman" w:hAnsi="Times New Roman" w:eastAsia="Times New Roman"/>
                <w:sz w:val="16"/>
              </w:rPr>
              <w:t>1004</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e_learning</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Big Five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r>
      <w:tr>
        <w:tc>
          <w:tcPr>
            <w:tcW w:type="dxa" w:w="780"/>
          </w:tcPr>
          <w:p>
            <w:pPr>
              <w:spacing w:before="0" w:after="0" w:line="240" w:lineRule="auto"/>
            </w:pPr>
            <w:r>
              <w:rPr>
                <w:rFonts w:ascii="Times New Roman" w:hAnsi="Times New Roman" w:eastAsia="Times New Roman"/>
                <w:sz w:val="16"/>
              </w:rPr>
              <w:t>A-28</w:t>
            </w:r>
          </w:p>
        </w:tc>
        <w:tc>
          <w:tcPr>
            <w:tcW w:type="dxa" w:w="780"/>
          </w:tcPr>
          <w:p>
            <w:pPr>
              <w:spacing w:before="0" w:after="0" w:line="240" w:lineRule="auto"/>
            </w:pPr>
            <w:r>
              <w:rPr>
                <w:rFonts w:ascii="Times New Roman" w:hAnsi="Times New Roman" w:eastAsia="Times New Roman"/>
                <w:sz w:val="16"/>
              </w:rPr>
              <w:t>Yu (2021)</w:t>
            </w:r>
          </w:p>
        </w:tc>
        <w:tc>
          <w:tcPr>
            <w:tcW w:type="dxa" w:w="780"/>
          </w:tcPr>
          <w:p>
            <w:pPr>
              <w:spacing w:before="0" w:after="0" w:line="240" w:lineRule="auto"/>
            </w:pPr>
            <w:r>
              <w:rPr>
                <w:rFonts w:ascii="Times New Roman" w:hAnsi="Times New Roman" w:eastAsia="Times New Roman"/>
                <w:sz w:val="16"/>
              </w:rPr>
              <w:t>1152</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Big Five Scale (McCrae)</w:t>
            </w:r>
          </w:p>
        </w:tc>
        <w:tc>
          <w:tcPr>
            <w:tcW w:type="dxa" w:w="780"/>
          </w:tcPr>
          <w:p>
            <w:pPr>
              <w:spacing w:before="0" w:after="0" w:line="240" w:lineRule="auto"/>
            </w:pPr>
            <w:r>
              <w:rPr>
                <w:rFonts w:ascii="Times New Roman" w:hAnsi="Times New Roman" w:eastAsia="Times New Roman"/>
                <w:sz w:val="16"/>
              </w:rPr>
              <w:t>MOOC_composite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A-29</w:t>
            </w:r>
          </w:p>
        </w:tc>
        <w:tc>
          <w:tcPr>
            <w:tcW w:type="dxa" w:w="780"/>
          </w:tcPr>
          <w:p>
            <w:pPr>
              <w:spacing w:before="0" w:after="0" w:line="240" w:lineRule="auto"/>
            </w:pPr>
            <w:r>
              <w:rPr>
                <w:rFonts w:ascii="Times New Roman" w:hAnsi="Times New Roman" w:eastAsia="Times New Roman"/>
                <w:sz w:val="16"/>
              </w:rPr>
              <w:t>Bahcekapili (2020)</w:t>
            </w:r>
          </w:p>
        </w:tc>
        <w:tc>
          <w:tcPr>
            <w:tcW w:type="dxa" w:w="780"/>
          </w:tcPr>
          <w:p>
            <w:pPr>
              <w:spacing w:before="0" w:after="0" w:line="240" w:lineRule="auto"/>
            </w:pPr>
            <w:r>
              <w:rPr>
                <w:rFonts w:ascii="Times New Roman" w:hAnsi="Times New Roman" w:eastAsia="Times New Roman"/>
                <w:sz w:val="16"/>
              </w:rPr>
              <w:t>525</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 Turkish</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A-30</w:t>
            </w:r>
          </w:p>
        </w:tc>
        <w:tc>
          <w:tcPr>
            <w:tcW w:type="dxa" w:w="780"/>
          </w:tcPr>
          <w:p>
            <w:pPr>
              <w:spacing w:before="0" w:after="0" w:line="240" w:lineRule="auto"/>
            </w:pPr>
            <w:r>
              <w:rPr>
                <w:rFonts w:ascii="Times New Roman" w:hAnsi="Times New Roman" w:eastAsia="Times New Roman"/>
                <w:sz w:val="16"/>
              </w:rPr>
              <w:t>Kaspar (2023)</w:t>
            </w:r>
          </w:p>
        </w:tc>
        <w:tc>
          <w:tcPr>
            <w:tcW w:type="dxa" w:w="780"/>
          </w:tcPr>
          <w:p>
            <w:pPr>
              <w:spacing w:before="0" w:after="0" w:line="240" w:lineRule="auto"/>
            </w:pPr>
            <w:r>
              <w:rPr>
                <w:rFonts w:ascii="Times New Roman" w:hAnsi="Times New Roman" w:eastAsia="Times New Roman"/>
                <w:sz w:val="16"/>
              </w:rPr>
              <w:t>413</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 German</w:t>
            </w:r>
          </w:p>
        </w:tc>
        <w:tc>
          <w:tcPr>
            <w:tcW w:type="dxa" w:w="780"/>
          </w:tcPr>
          <w:p>
            <w:pPr>
              <w:spacing w:before="0" w:after="0" w:line="240" w:lineRule="auto"/>
            </w:pPr>
            <w:r>
              <w:rPr>
                <w:rFonts w:ascii="Times New Roman" w:hAnsi="Times New Roman" w:eastAsia="Times New Roman"/>
                <w:sz w:val="16"/>
              </w:rPr>
              <w:t>performance_self_rated</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A-31</w:t>
            </w:r>
          </w:p>
        </w:tc>
        <w:tc>
          <w:tcPr>
            <w:tcW w:type="dxa" w:w="780"/>
          </w:tcPr>
          <w:p>
            <w:pPr>
              <w:spacing w:before="0" w:after="0" w:line="240" w:lineRule="auto"/>
            </w:pPr>
            <w:r>
              <w:rPr>
                <w:rFonts w:ascii="Times New Roman" w:hAnsi="Times New Roman" w:eastAsia="Times New Roman"/>
                <w:sz w:val="16"/>
              </w:rPr>
              <w:t>Rivers (2021)</w:t>
            </w:r>
          </w:p>
        </w:tc>
        <w:tc>
          <w:tcPr>
            <w:tcW w:type="dxa" w:w="780"/>
          </w:tcPr>
          <w:p>
            <w:pPr>
              <w:spacing w:before="0" w:after="0" w:line="240" w:lineRule="auto"/>
            </w:pPr>
            <w:r>
              <w:rPr>
                <w:rFonts w:ascii="Times New Roman" w:hAnsi="Times New Roman" w:eastAsia="Times New Roman"/>
                <w:sz w:val="16"/>
              </w:rPr>
              <w:t>149</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TIPI-J</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A-37</w:t>
            </w:r>
          </w:p>
        </w:tc>
        <w:tc>
          <w:tcPr>
            <w:tcW w:type="dxa" w:w="780"/>
          </w:tcPr>
          <w:p>
            <w:pPr>
              <w:spacing w:before="0" w:after="0" w:line="240" w:lineRule="auto"/>
            </w:pPr>
            <w:r>
              <w:rPr>
                <w:rFonts w:ascii="Times New Roman" w:hAnsi="Times New Roman" w:eastAsia="Times New Roman"/>
                <w:sz w:val="16"/>
              </w:rPr>
              <w:t>Zheng (2023)</w:t>
            </w:r>
          </w:p>
        </w:tc>
        <w:tc>
          <w:tcPr>
            <w:tcW w:type="dxa" w:w="780"/>
          </w:tcPr>
          <w:p>
            <w:pPr>
              <w:spacing w:before="0" w:after="0" w:line="240" w:lineRule="auto"/>
            </w:pPr>
            <w:r>
              <w:rPr>
                <w:rFonts w:ascii="Times New Roman" w:hAnsi="Times New Roman" w:eastAsia="Times New Roman"/>
                <w:sz w:val="16"/>
              </w:rPr>
              <w:t>282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Mixed_3era</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TIPI</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4</w:t>
            </w:r>
          </w:p>
        </w:tc>
      </w:tr>
    </w:tbl>
    <w:p>
      <w:pPr>
        <w:spacing w:line="480" w:lineRule="auto" w:before="0" w:after="0"/>
      </w:pPr>
      <w:r>
        <w:rPr>
          <w:rFonts w:ascii="Times New Roman" w:hAnsi="Times New Roman" w:eastAsia="Times New Roman"/>
          <w:sz w:val="24"/>
        </w:rPr>
        <w:t xml:space="preserve">Note. ID = study identifier in the deep-reading-notes ledger (A-XX sequence). </w:t>
      </w:r>
      <w:r>
        <w:rPr>
          <w:rFonts w:ascii="Times New Roman" w:hAnsi="Times New Roman" w:eastAsia="Times New Roman"/>
          <w:i/>
          <w:sz w:val="24"/>
        </w:rPr>
        <w:t>N</w:t>
      </w:r>
      <w:r>
        <w:rPr>
          <w:rFonts w:ascii="Times New Roman" w:hAnsi="Times New Roman" w:eastAsia="Times New Roman"/>
          <w:sz w:val="24"/>
        </w:rPr>
        <w:t xml:space="preserve"> = analytic sample size. Mode (modality): Online = fully online; FtF = face-to-face (excluded at modality screening); Mixed = blended or mode-comparing design; Online* = mode not explicitly specified in the source. Level (education level): UG = undergraduate; Grad = graduate; UG/Grad = mixed undergraduate-graduate; K-12 = elementary through high school; Sec/Post = mixed secondary-postsecondary. Era: pre-COVID ≤ 2019; COVID = 2020–2022; post-COVID ≥ 2023. Region: classified per country of data collection. Instrument: abbreviated personality inventory label. Outcome: abbreviated outcome construct. Inclusion: Inc = included in primary achievement pool; Inc (COI) = included with conflict-of-interest flag; Inc* = included with caveat; Exc-pri = excluded from primary but retained for secondary pool or narrative; Exc-dup = excluded due to sample overlap with another included study; Exc = excluded at eligibility. RoB = aggregate score on the Joanna Briggs Institute 8-item critical appraisal checklist (0–8; higher = lower risk). A-14 Eilam (2009) and A-27 Wu &amp; Yu (2024) are omitted because the former was excluded at the modality screening stage and the latter was not available as a retrievable PDF; both are disclosed in the PRISMA flow. Author-correction notes for studies whose original bibliographic metadata differed from the verified author, year, or country (A-06, A-07, A-08, A-12, A-13, A-16, A-18, A-20) are provided in the OSF project (Supplementary Material).</w:t>
      </w:r>
    </w:p>
    <w:p>
      <w:r>
        <w:br w:type="page"/>
      </w:r>
    </w:p>
    <w:p>
      <w:pPr>
        <w:spacing w:line="480" w:lineRule="auto" w:before="0" w:after="0"/>
      </w:pPr>
      <w:r>
        <w:rPr>
          <w:rFonts w:ascii="Times New Roman" w:hAnsi="Times New Roman"/>
          <w:b/>
          <w:sz w:val="24"/>
        </w:rPr>
        <w:t>Table 2</w:t>
      </w:r>
    </w:p>
    <w:p>
      <w:pPr>
        <w:spacing w:line="480" w:lineRule="auto" w:before="0" w:after="0"/>
      </w:pPr>
      <w:r>
        <w:rPr>
          <w:rFonts w:ascii="Times New Roman" w:hAnsi="Times New Roman"/>
          <w:i/>
          <w:sz w:val="24"/>
        </w:rPr>
        <w:t>Random-Effects Pooled Correlations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before="0" w:after="0" w:line="276" w:lineRule="auto"/>
            </w:pPr>
            <w:r>
              <w:rPr>
                <w:rFonts w:ascii="Times New Roman" w:hAnsi="Times New Roman" w:eastAsia="Times New Roman"/>
                <w:b/>
                <w:sz w:val="20"/>
              </w:rPr>
              <w:t>Trait</w:t>
            </w:r>
          </w:p>
        </w:tc>
        <w:tc>
          <w:tcPr>
            <w:tcW w:type="dxa" w:w="1040"/>
          </w:tcPr>
          <w:p>
            <w:pPr>
              <w:spacing w:before="0" w:after="0" w:line="276" w:lineRule="auto"/>
            </w:pPr>
            <w:r>
              <w:rPr>
                <w:rFonts w:ascii="Times New Roman" w:hAnsi="Times New Roman" w:eastAsia="Times New Roman"/>
                <w:b/>
                <w:sz w:val="20"/>
              </w:rPr>
              <w:t>k</w:t>
            </w:r>
          </w:p>
        </w:tc>
        <w:tc>
          <w:tcPr>
            <w:tcW w:type="dxa" w:w="1040"/>
          </w:tcPr>
          <w:p>
            <w:pPr>
              <w:spacing w:before="0" w:after="0" w:line="276" w:lineRule="auto"/>
            </w:pPr>
            <w:r>
              <w:rPr>
                <w:rFonts w:ascii="Times New Roman" w:hAnsi="Times New Roman" w:eastAsia="Times New Roman"/>
                <w:b/>
                <w:sz w:val="20"/>
              </w:rPr>
              <w:t>N</w:t>
            </w:r>
          </w:p>
        </w:tc>
        <w:tc>
          <w:tcPr>
            <w:tcW w:type="dxa" w:w="1040"/>
          </w:tcPr>
          <w:p>
            <w:pPr>
              <w:spacing w:before="0" w:after="0" w:line="276" w:lineRule="auto"/>
            </w:pPr>
            <w:r>
              <w:rPr>
                <w:rFonts w:ascii="Times New Roman" w:hAnsi="Times New Roman" w:eastAsia="Times New Roman"/>
                <w:b/>
                <w:sz w:val="20"/>
              </w:rPr>
              <w:t>r</w:t>
            </w:r>
          </w:p>
        </w:tc>
        <w:tc>
          <w:tcPr>
            <w:tcW w:type="dxa" w:w="1040"/>
          </w:tcPr>
          <w:p>
            <w:pPr>
              <w:spacing w:before="0" w:after="0" w:line="276" w:lineRule="auto"/>
            </w:pPr>
            <w:r>
              <w:rPr>
                <w:rFonts w:ascii="Times New Roman" w:hAnsi="Times New Roman" w:eastAsia="Times New Roman"/>
                <w:b/>
                <w:sz w:val="20"/>
              </w:rPr>
              <w:t>95% CI</w:t>
            </w:r>
          </w:p>
        </w:tc>
        <w:tc>
          <w:tcPr>
            <w:tcW w:type="dxa" w:w="1040"/>
          </w:tcPr>
          <w:p>
            <w:pPr>
              <w:spacing w:before="0" w:after="0" w:line="276" w:lineRule="auto"/>
            </w:pPr>
            <w:r>
              <w:rPr>
                <w:rFonts w:ascii="Times New Roman" w:hAnsi="Times New Roman" w:eastAsia="Times New Roman"/>
                <w:b/>
                <w:sz w:val="20"/>
              </w:rPr>
              <w:t>95% PI</w:t>
            </w:r>
          </w:p>
        </w:tc>
        <w:tc>
          <w:tcPr>
            <w:tcW w:type="dxa" w:w="1040"/>
          </w:tcPr>
          <w:p>
            <w:pPr>
              <w:spacing w:before="0" w:after="0" w:line="276" w:lineRule="auto"/>
            </w:pPr>
            <w:r>
              <w:rPr>
                <w:rFonts w:ascii="Times New Roman" w:hAnsi="Times New Roman" w:eastAsia="Times New Roman"/>
                <w:b/>
                <w:sz w:val="20"/>
              </w:rPr>
              <w:t>I²</w:t>
            </w:r>
          </w:p>
        </w:tc>
        <w:tc>
          <w:tcPr>
            <w:tcW w:type="dxa" w:w="1040"/>
          </w:tcPr>
          <w:p>
            <w:pPr>
              <w:spacing w:before="0" w:after="0" w:line="276" w:lineRule="auto"/>
            </w:pPr>
            <w:r>
              <w:rPr>
                <w:rFonts w:ascii="Times New Roman" w:hAnsi="Times New Roman" w:eastAsia="Times New Roman"/>
                <w:b/>
                <w:sz w:val="20"/>
              </w:rPr>
              <w:t>τ²</w:t>
            </w:r>
          </w:p>
        </w:tc>
        <w:tc>
          <w:tcPr>
            <w:tcW w:type="dxa" w:w="1040"/>
          </w:tcPr>
          <w:p>
            <w:pPr>
              <w:spacing w:before="0" w:after="0" w:line="276" w:lineRule="auto"/>
            </w:pPr>
            <w:r>
              <w:rPr>
                <w:rFonts w:ascii="Times New Roman" w:hAnsi="Times New Roman" w:eastAsia="Times New Roman"/>
                <w:sz w:val="24"/>
              </w:rPr>
              <w:t>Q(</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040"/>
          </w:tcPr>
          <w:p>
            <w:pPr>
              <w:spacing w:before="0" w:after="0" w:line="276" w:lineRule="auto"/>
            </w:pPr>
            <w:r>
              <w:rPr>
                <w:rFonts w:ascii="Times New Roman" w:hAnsi="Times New Roman" w:eastAsia="Times New Roman"/>
                <w:sz w:val="20"/>
              </w:rPr>
              <w:t>Conscientiousness</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.167</w:t>
            </w:r>
          </w:p>
        </w:tc>
        <w:tc>
          <w:tcPr>
            <w:tcW w:type="dxa" w:w="1040"/>
          </w:tcPr>
          <w:p>
            <w:pPr>
              <w:spacing w:before="0" w:after="0" w:line="276" w:lineRule="auto"/>
            </w:pPr>
            <w:r>
              <w:rPr>
                <w:rFonts w:ascii="Times New Roman" w:hAnsi="Times New Roman" w:eastAsia="Times New Roman"/>
                <w:sz w:val="20"/>
              </w:rPr>
              <w:t>[.089, .243]</w:t>
            </w:r>
          </w:p>
        </w:tc>
        <w:tc>
          <w:tcPr>
            <w:tcW w:type="dxa" w:w="1040"/>
          </w:tcPr>
          <w:p>
            <w:pPr>
              <w:spacing w:before="0" w:after="0" w:line="276" w:lineRule="auto"/>
            </w:pPr>
            <w:r>
              <w:rPr>
                <w:rFonts w:ascii="Times New Roman" w:hAnsi="Times New Roman" w:eastAsia="Times New Roman"/>
                <w:sz w:val="20"/>
              </w:rPr>
              <w:t>[−.020, .343]</w:t>
            </w:r>
          </w:p>
        </w:tc>
        <w:tc>
          <w:tcPr>
            <w:tcW w:type="dxa" w:w="1040"/>
          </w:tcPr>
          <w:p>
            <w:pPr>
              <w:spacing w:before="0" w:after="0" w:line="276" w:lineRule="auto"/>
            </w:pPr>
            <w:r>
              <w:rPr>
                <w:rFonts w:ascii="Times New Roman" w:hAnsi="Times New Roman" w:eastAsia="Times New Roman"/>
                <w:sz w:val="20"/>
              </w:rPr>
              <w:t>65.1%</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25.79(9), .002</w:t>
            </w:r>
          </w:p>
        </w:tc>
      </w:tr>
      <w:tr>
        <w:tc>
          <w:tcPr>
            <w:tcW w:type="dxa" w:w="1040"/>
          </w:tcPr>
          <w:p>
            <w:pPr>
              <w:spacing w:before="0" w:after="0" w:line="276" w:lineRule="auto"/>
            </w:pPr>
            <w:r>
              <w:rPr>
                <w:rFonts w:ascii="Times New Roman" w:hAnsi="Times New Roman" w:eastAsia="Times New Roman"/>
                <w:sz w:val="20"/>
              </w:rPr>
              <w:t>Agreeableness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.112</w:t>
            </w:r>
          </w:p>
        </w:tc>
        <w:tc>
          <w:tcPr>
            <w:tcW w:type="dxa" w:w="1040"/>
          </w:tcPr>
          <w:p>
            <w:pPr>
              <w:spacing w:before="0" w:after="0" w:line="276" w:lineRule="auto"/>
            </w:pPr>
            <w:r>
              <w:rPr>
                <w:rFonts w:ascii="Times New Roman" w:hAnsi="Times New Roman" w:eastAsia="Times New Roman"/>
                <w:sz w:val="20"/>
              </w:rPr>
              <w:t>[−.031, .250]</w:t>
            </w:r>
          </w:p>
        </w:tc>
        <w:tc>
          <w:tcPr>
            <w:tcW w:type="dxa" w:w="1040"/>
          </w:tcPr>
          <w:p>
            <w:pPr>
              <w:spacing w:before="0" w:after="0" w:line="276" w:lineRule="auto"/>
            </w:pPr>
            <w:r>
              <w:rPr>
                <w:rFonts w:ascii="Times New Roman" w:hAnsi="Times New Roman" w:eastAsia="Times New Roman"/>
                <w:sz w:val="20"/>
              </w:rPr>
              <w:t>[−.310, .496]</w:t>
            </w:r>
          </w:p>
        </w:tc>
        <w:tc>
          <w:tcPr>
            <w:tcW w:type="dxa" w:w="1040"/>
          </w:tcPr>
          <w:p>
            <w:pPr>
              <w:spacing w:before="0" w:after="0" w:line="276" w:lineRule="auto"/>
            </w:pPr>
            <w:r>
              <w:rPr>
                <w:rFonts w:ascii="Times New Roman" w:hAnsi="Times New Roman" w:eastAsia="Times New Roman"/>
                <w:sz w:val="20"/>
              </w:rPr>
              <w:t>96.2%</w:t>
            </w:r>
          </w:p>
        </w:tc>
        <w:tc>
          <w:tcPr>
            <w:tcW w:type="dxa" w:w="1040"/>
          </w:tcPr>
          <w:p>
            <w:pPr>
              <w:spacing w:before="0" w:after="0" w:line="276" w:lineRule="auto"/>
            </w:pPr>
            <w:r>
              <w:rPr>
                <w:rFonts w:ascii="Times New Roman" w:hAnsi="Times New Roman" w:eastAsia="Times New Roman"/>
                <w:sz w:val="20"/>
              </w:rPr>
              <w:t>.030</w:t>
            </w:r>
          </w:p>
        </w:tc>
        <w:tc>
          <w:tcPr>
            <w:tcW w:type="dxa" w:w="1040"/>
          </w:tcPr>
          <w:p>
            <w:pPr>
              <w:spacing w:before="0" w:after="0" w:line="276" w:lineRule="auto"/>
            </w:pPr>
            <w:r>
              <w:rPr>
                <w:rFonts w:ascii="Times New Roman" w:hAnsi="Times New Roman" w:eastAsia="Times New Roman"/>
                <w:sz w:val="20"/>
              </w:rPr>
              <w:t>208.49(8), &lt;.001</w:t>
            </w:r>
          </w:p>
        </w:tc>
      </w:tr>
      <w:tr>
        <w:tc>
          <w:tcPr>
            <w:tcW w:type="dxa" w:w="1040"/>
          </w:tcPr>
          <w:p>
            <w:pPr>
              <w:spacing w:before="0" w:after="0" w:line="276" w:lineRule="auto"/>
            </w:pPr>
            <w:r>
              <w:rPr>
                <w:rFonts w:ascii="Times New Roman" w:hAnsi="Times New Roman" w:eastAsia="Times New Roman"/>
                <w:sz w:val="20"/>
              </w:rPr>
              <w:t>Openness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.086</w:t>
            </w:r>
          </w:p>
        </w:tc>
        <w:tc>
          <w:tcPr>
            <w:tcW w:type="dxa" w:w="1040"/>
          </w:tcPr>
          <w:p>
            <w:pPr>
              <w:spacing w:before="0" w:after="0" w:line="276" w:lineRule="auto"/>
            </w:pPr>
            <w:r>
              <w:rPr>
                <w:rFonts w:ascii="Times New Roman" w:hAnsi="Times New Roman" w:eastAsia="Times New Roman"/>
                <w:sz w:val="20"/>
              </w:rPr>
              <w:t>[−.044, .214]</w:t>
            </w:r>
          </w:p>
        </w:tc>
        <w:tc>
          <w:tcPr>
            <w:tcW w:type="dxa" w:w="1040"/>
          </w:tcPr>
          <w:p>
            <w:pPr>
              <w:spacing w:before="0" w:after="0" w:line="276" w:lineRule="auto"/>
            </w:pPr>
            <w:r>
              <w:rPr>
                <w:rFonts w:ascii="Times New Roman" w:hAnsi="Times New Roman" w:eastAsia="Times New Roman"/>
                <w:sz w:val="20"/>
              </w:rPr>
              <w:t>[−.273, .425]</w:t>
            </w:r>
          </w:p>
        </w:tc>
        <w:tc>
          <w:tcPr>
            <w:tcW w:type="dxa" w:w="1040"/>
          </w:tcPr>
          <w:p>
            <w:pPr>
              <w:spacing w:before="0" w:after="0" w:line="276" w:lineRule="auto"/>
            </w:pPr>
            <w:r>
              <w:rPr>
                <w:rFonts w:ascii="Times New Roman" w:hAnsi="Times New Roman" w:eastAsia="Times New Roman"/>
                <w:sz w:val="20"/>
              </w:rPr>
              <w:t>92.0%</w:t>
            </w:r>
          </w:p>
        </w:tc>
        <w:tc>
          <w:tcPr>
            <w:tcW w:type="dxa" w:w="1040"/>
          </w:tcPr>
          <w:p>
            <w:pPr>
              <w:spacing w:before="0" w:after="0" w:line="276" w:lineRule="auto"/>
            </w:pPr>
            <w:r>
              <w:rPr>
                <w:rFonts w:ascii="Times New Roman" w:hAnsi="Times New Roman" w:eastAsia="Times New Roman"/>
                <w:sz w:val="20"/>
              </w:rPr>
              <w:t>.021</w:t>
            </w:r>
          </w:p>
        </w:tc>
        <w:tc>
          <w:tcPr>
            <w:tcW w:type="dxa" w:w="1040"/>
          </w:tcPr>
          <w:p>
            <w:pPr>
              <w:spacing w:before="0" w:after="0" w:line="276" w:lineRule="auto"/>
            </w:pPr>
            <w:r>
              <w:rPr>
                <w:rFonts w:ascii="Times New Roman" w:hAnsi="Times New Roman" w:eastAsia="Times New Roman"/>
                <w:sz w:val="20"/>
              </w:rPr>
              <w:t>100.17(8), &lt;.001</w:t>
            </w:r>
          </w:p>
        </w:tc>
      </w:tr>
      <w:tr>
        <w:tc>
          <w:tcPr>
            <w:tcW w:type="dxa" w:w="1040"/>
          </w:tcPr>
          <w:p>
            <w:pPr>
              <w:spacing w:before="0" w:after="0" w:line="276" w:lineRule="auto"/>
            </w:pPr>
            <w:r>
              <w:rPr>
                <w:rFonts w:ascii="Times New Roman" w:hAnsi="Times New Roman" w:eastAsia="Times New Roman"/>
                <w:sz w:val="20"/>
              </w:rPr>
              <w:t>Neuroticism</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.018</w:t>
            </w:r>
          </w:p>
        </w:tc>
        <w:tc>
          <w:tcPr>
            <w:tcW w:type="dxa" w:w="1040"/>
          </w:tcPr>
          <w:p>
            <w:pPr>
              <w:spacing w:before="0" w:after="0" w:line="276" w:lineRule="auto"/>
            </w:pPr>
            <w:r>
              <w:rPr>
                <w:rFonts w:ascii="Times New Roman" w:hAnsi="Times New Roman" w:eastAsia="Times New Roman"/>
                <w:sz w:val="20"/>
              </w:rPr>
              <w:t>[−.079, .114]</w:t>
            </w:r>
          </w:p>
        </w:tc>
        <w:tc>
          <w:tcPr>
            <w:tcW w:type="dxa" w:w="1040"/>
          </w:tcPr>
          <w:p>
            <w:pPr>
              <w:spacing w:before="0" w:after="0" w:line="276" w:lineRule="auto"/>
            </w:pPr>
            <w:r>
              <w:rPr>
                <w:rFonts w:ascii="Times New Roman" w:hAnsi="Times New Roman" w:eastAsia="Times New Roman"/>
                <w:sz w:val="20"/>
              </w:rPr>
              <w:t>[−.229, .263]</w:t>
            </w:r>
          </w:p>
        </w:tc>
        <w:tc>
          <w:tcPr>
            <w:tcW w:type="dxa" w:w="1040"/>
          </w:tcPr>
          <w:p>
            <w:pPr>
              <w:spacing w:before="0" w:after="0" w:line="276" w:lineRule="auto"/>
            </w:pPr>
            <w:r>
              <w:rPr>
                <w:rFonts w:ascii="Times New Roman" w:hAnsi="Times New Roman" w:eastAsia="Times New Roman"/>
                <w:sz w:val="20"/>
              </w:rPr>
              <w:t>79.0%</w:t>
            </w:r>
          </w:p>
        </w:tc>
        <w:tc>
          <w:tcPr>
            <w:tcW w:type="dxa" w:w="1040"/>
          </w:tcPr>
          <w:p>
            <w:pPr>
              <w:spacing w:before="0" w:after="0" w:line="276" w:lineRule="auto"/>
            </w:pPr>
            <w:r>
              <w:rPr>
                <w:rFonts w:ascii="Times New Roman" w:hAnsi="Times New Roman" w:eastAsia="Times New Roman"/>
                <w:sz w:val="20"/>
              </w:rPr>
              <w:t>.010</w:t>
            </w:r>
          </w:p>
        </w:tc>
        <w:tc>
          <w:tcPr>
            <w:tcW w:type="dxa" w:w="1040"/>
          </w:tcPr>
          <w:p>
            <w:pPr>
              <w:spacing w:before="0" w:after="0" w:line="276" w:lineRule="auto"/>
            </w:pPr>
            <w:r>
              <w:rPr>
                <w:rFonts w:ascii="Times New Roman" w:hAnsi="Times New Roman" w:eastAsia="Times New Roman"/>
                <w:sz w:val="20"/>
              </w:rPr>
              <w:t>42.76(9), &lt;.001</w:t>
            </w:r>
          </w:p>
        </w:tc>
      </w:tr>
      <w:tr>
        <w:tc>
          <w:tcPr>
            <w:tcW w:type="dxa" w:w="1040"/>
          </w:tcPr>
          <w:p>
            <w:pPr>
              <w:spacing w:before="0" w:after="0" w:line="276" w:lineRule="auto"/>
            </w:pPr>
            <w:r>
              <w:rPr>
                <w:rFonts w:ascii="Times New Roman" w:hAnsi="Times New Roman" w:eastAsia="Times New Roman"/>
                <w:sz w:val="20"/>
              </w:rPr>
              <w:t>Extraversion</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.002</w:t>
            </w:r>
          </w:p>
        </w:tc>
        <w:tc>
          <w:tcPr>
            <w:tcW w:type="dxa" w:w="1040"/>
          </w:tcPr>
          <w:p>
            <w:pPr>
              <w:spacing w:before="0" w:after="0" w:line="276" w:lineRule="auto"/>
            </w:pPr>
            <w:r>
              <w:rPr>
                <w:rFonts w:ascii="Times New Roman" w:hAnsi="Times New Roman" w:eastAsia="Times New Roman"/>
                <w:sz w:val="20"/>
              </w:rPr>
              <w:t>[−.076, .080]</w:t>
            </w:r>
          </w:p>
        </w:tc>
        <w:tc>
          <w:tcPr>
            <w:tcW w:type="dxa" w:w="1040"/>
          </w:tcPr>
          <w:p>
            <w:pPr>
              <w:spacing w:before="0" w:after="0" w:line="276" w:lineRule="auto"/>
            </w:pPr>
            <w:r>
              <w:rPr>
                <w:rFonts w:ascii="Times New Roman" w:hAnsi="Times New Roman" w:eastAsia="Times New Roman"/>
                <w:sz w:val="20"/>
              </w:rPr>
              <w:t>[−.195, .200]</w:t>
            </w:r>
          </w:p>
        </w:tc>
        <w:tc>
          <w:tcPr>
            <w:tcW w:type="dxa" w:w="1040"/>
          </w:tcPr>
          <w:p>
            <w:pPr>
              <w:spacing w:before="0" w:after="0" w:line="276" w:lineRule="auto"/>
            </w:pPr>
            <w:r>
              <w:rPr>
                <w:rFonts w:ascii="Times New Roman" w:hAnsi="Times New Roman" w:eastAsia="Times New Roman"/>
                <w:sz w:val="20"/>
              </w:rPr>
              <w:t>75.5%</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32.66(8), &lt;.001</w:t>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independent samples contributing a direct Pearson </w:t>
      </w:r>
      <w:r>
        <w:rPr>
          <w:rFonts w:ascii="Times New Roman" w:hAnsi="Times New Roman" w:eastAsia="Times New Roman"/>
          <w:i/>
          <w:sz w:val="24"/>
        </w:rPr>
        <w:t>r</w:t>
      </w:r>
      <w:r>
        <w:rPr>
          <w:rFonts w:ascii="Times New Roman" w:hAnsi="Times New Roman" w:eastAsia="Times New Roman"/>
          <w:sz w:val="24"/>
        </w:rPr>
        <w:t xml:space="preserve"> or Peterson-Brown-converted </w:t>
      </w:r>
      <w:r>
        <w:rPr>
          <w:rFonts w:ascii="Times New Roman" w:hAnsi="Times New Roman" w:eastAsia="Times New Roman"/>
          <w:i/>
          <w:sz w:val="24"/>
        </w:rPr>
        <w:t>β</w:t>
      </w:r>
      <w:r>
        <w:rPr>
          <w:rFonts w:ascii="Times New Roman" w:hAnsi="Times New Roman" w:eastAsia="Times New Roman"/>
          <w:sz w:val="24"/>
        </w:rPr>
        <w:t xml:space="preserve"> to the trait pool. </w:t>
      </w:r>
      <w:r>
        <w:rPr>
          <w:rFonts w:ascii="Times New Roman" w:hAnsi="Times New Roman" w:eastAsia="Times New Roman"/>
          <w:i/>
          <w:sz w:val="24"/>
        </w:rPr>
        <w:t>N</w:t>
      </w:r>
      <w:r>
        <w:rPr>
          <w:rFonts w:ascii="Times New Roman" w:hAnsi="Times New Roman" w:eastAsia="Times New Roman"/>
          <w:sz w:val="24"/>
        </w:rPr>
        <w:t xml:space="preserve"> = total pooled sample size. </w:t>
      </w:r>
      <w:r>
        <w:rPr>
          <w:rFonts w:ascii="Times New Roman" w:hAnsi="Times New Roman" w:eastAsia="Times New Roman"/>
          <w:i/>
          <w:sz w:val="24"/>
        </w:rPr>
        <w:t>r</w:t>
      </w:r>
      <w:r>
        <w:rPr>
          <w:rFonts w:ascii="Times New Roman" w:hAnsi="Times New Roman" w:eastAsia="Times New Roman"/>
          <w:sz w:val="24"/>
        </w:rPr>
        <w:t xml:space="preserve"> = random-effects REML pooled correlation on the Fisher </w:t>
      </w:r>
      <w:r>
        <w:rPr>
          <w:rFonts w:ascii="Times New Roman" w:hAnsi="Times New Roman" w:eastAsia="Times New Roman"/>
          <w:i/>
          <w:sz w:val="24"/>
        </w:rPr>
        <w:t>z</w:t>
      </w:r>
      <w:r>
        <w:rPr>
          <w:rFonts w:ascii="Times New Roman" w:hAnsi="Times New Roman" w:eastAsia="Times New Roman"/>
          <w:sz w:val="24"/>
        </w:rPr>
        <w:t xml:space="preserve"> scale, back-transformed to </w:t>
      </w:r>
      <w:r>
        <w:rPr>
          <w:rFonts w:ascii="Times New Roman" w:hAnsi="Times New Roman" w:eastAsia="Times New Roman"/>
          <w:i/>
          <w:sz w:val="24"/>
        </w:rPr>
        <w:t>r</w:t>
      </w:r>
      <w:r>
        <w:rPr>
          <w:rFonts w:ascii="Times New Roman" w:hAnsi="Times New Roman" w:eastAsia="Times New Roman"/>
          <w:sz w:val="24"/>
        </w:rPr>
        <w:t xml:space="preserve"> for display. 95% CI = Hartung-Knapp-Sidik-Jonkman–adjusted confidence interval. 95% PI = prediction interval for true effects in a new study. </w:t>
      </w:r>
      <w:r>
        <w:rPr>
          <w:rFonts w:ascii="Times New Roman" w:hAnsi="Times New Roman" w:eastAsia="Times New Roman"/>
          <w:i/>
          <w:sz w:val="24"/>
        </w:rPr>
        <w:t>I²</w:t>
      </w:r>
      <w:r>
        <w:rPr>
          <w:rFonts w:ascii="Times New Roman" w:hAnsi="Times New Roman" w:eastAsia="Times New Roman"/>
          <w:sz w:val="24"/>
        </w:rPr>
        <w:t xml:space="preserve"> = Higgins &amp; Thompson's heterogeneity index. </w:t>
      </w:r>
      <w:r>
        <w:rPr>
          <w:rFonts w:ascii="Times New Roman" w:hAnsi="Times New Roman" w:eastAsia="Times New Roman"/>
          <w:i/>
          <w:sz w:val="24"/>
        </w:rPr>
        <w:t>τ²</w:t>
      </w:r>
      <w:r>
        <w:rPr>
          <w:rFonts w:ascii="Times New Roman" w:hAnsi="Times New Roman" w:eastAsia="Times New Roman"/>
          <w:sz w:val="24"/>
        </w:rPr>
        <w:t xml:space="preserve"> = REML between-study variance. </w:t>
      </w:r>
      <w:r>
        <w:rPr>
          <w:rFonts w:ascii="Times New Roman" w:hAnsi="Times New Roman" w:eastAsia="Times New Roman"/>
          <w:i/>
          <w:sz w:val="24"/>
        </w:rPr>
        <w:t>Q</w:t>
      </w:r>
      <w:r>
        <w:rPr>
          <w:rFonts w:ascii="Times New Roman" w:hAnsi="Times New Roman" w:eastAsia="Times New Roman"/>
          <w:sz w:val="24"/>
        </w:rPr>
        <w:t xml:space="preserve"> = Cochran's heterogeneity statistic; </w:t>
      </w:r>
      <w:r>
        <w:rPr>
          <w:rFonts w:ascii="Times New Roman" w:hAnsi="Times New Roman" w:eastAsia="Times New Roman"/>
          <w:i/>
          <w:sz w:val="24"/>
        </w:rPr>
        <w:t>df</w:t>
      </w:r>
      <w:r>
        <w:rPr>
          <w:rFonts w:ascii="Times New Roman" w:hAnsi="Times New Roman" w:eastAsia="Times New Roman"/>
          <w:sz w:val="24"/>
        </w:rPr>
        <w:t xml:space="preserve"> = degrees of freedom; </w:t>
      </w:r>
      <w:r>
        <w:rPr>
          <w:rFonts w:ascii="Times New Roman" w:hAnsi="Times New Roman" w:eastAsia="Times New Roman"/>
          <w:i/>
          <w:sz w:val="24"/>
        </w:rPr>
        <w:t>p</w:t>
      </w:r>
      <w:r>
        <w:rPr>
          <w:rFonts w:ascii="Times New Roman" w:hAnsi="Times New Roman" w:eastAsia="Times New Roman"/>
          <w:sz w:val="24"/>
        </w:rPr>
        <w:t xml:space="preserve"> = associated p-value. Traits are sorted by pooled </w:t>
      </w:r>
      <w:r>
        <w:rPr>
          <w:rFonts w:ascii="Times New Roman" w:hAnsi="Times New Roman" w:eastAsia="Times New Roman"/>
          <w:i/>
          <w:sz w:val="24"/>
        </w:rPr>
        <w:t>r</w:t>
      </w:r>
      <w:r>
        <w:rPr>
          <w:rFonts w:ascii="Times New Roman" w:hAnsi="Times New Roman" w:eastAsia="Times New Roman"/>
          <w:sz w:val="24"/>
        </w:rPr>
        <w:t xml:space="preserve"> (descending).</w:t>
      </w:r>
    </w:p>
    <w:p>
      <w:r>
        <w:br w:type="page"/>
      </w:r>
    </w:p>
    <w:p>
      <w:pPr>
        <w:spacing w:line="480" w:lineRule="auto" w:before="0" w:after="0"/>
      </w:pPr>
      <w:r>
        <w:rPr>
          <w:rFonts w:ascii="Times New Roman" w:hAnsi="Times New Roman"/>
          <w:b/>
          <w:sz w:val="24"/>
        </w:rPr>
        <w:t>Table 3</w:t>
      </w:r>
    </w:p>
    <w:p>
      <w:pPr>
        <w:spacing w:line="480" w:lineRule="auto" w:before="0" w:after="0"/>
      </w:pPr>
      <w:r>
        <w:rPr>
          <w:rFonts w:ascii="Times New Roman" w:hAnsi="Times New Roman"/>
          <w:i/>
          <w:sz w:val="24"/>
        </w:rPr>
        <w:t>Subgroup Moderator Analyses: Region, Era, and Outcome Type per Big Five Trait</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Moderator / Trait</w:t>
            </w:r>
          </w:p>
        </w:tc>
        <w:tc>
          <w:tcPr>
            <w:tcW w:type="dxa" w:w="1872"/>
          </w:tcPr>
          <w:p>
            <w:pPr>
              <w:spacing w:before="0" w:after="0" w:line="276" w:lineRule="auto"/>
            </w:pPr>
            <w:r>
              <w:rPr>
                <w:rFonts w:ascii="Times New Roman" w:hAnsi="Times New Roman" w:eastAsia="Times New Roman"/>
                <w:b/>
                <w:sz w:val="20"/>
              </w:rPr>
              <w:t>Level</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sz w:val="24"/>
              </w:rPr>
              <w:t>Q_between(</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872"/>
          </w:tcPr>
          <w:p>
            <w:pPr>
              <w:spacing w:before="0" w:after="0" w:line="276" w:lineRule="auto"/>
            </w:pPr>
            <w:r>
              <w:rPr>
                <w:rFonts w:ascii="Times New Roman" w:hAnsi="Times New Roman" w:eastAsia="Times New Roman"/>
                <w:sz w:val="20"/>
              </w:rPr>
              <w:t>Region: Conscientiousness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.185 [.082, .284]</w:t>
            </w:r>
          </w:p>
        </w:tc>
        <w:tc>
          <w:tcPr>
            <w:tcW w:type="dxa" w:w="1872"/>
          </w:tcPr>
          <w:p>
            <w:pPr>
              <w:spacing w:before="0" w:after="0" w:line="276" w:lineRule="auto"/>
            </w:pPr>
            <w:r>
              <w:rPr>
                <w:rFonts w:ascii="Times New Roman" w:hAnsi="Times New Roman" w:eastAsia="Times New Roman"/>
                <w:sz w:val="20"/>
              </w:rPr>
              <w:t>2.68(1), .102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.111 [−.039, .257]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Openness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.053 [−.060, .164]</w:t>
            </w:r>
          </w:p>
        </w:tc>
        <w:tc>
          <w:tcPr>
            <w:tcW w:type="dxa" w:w="1872"/>
          </w:tcPr>
          <w:p>
            <w:pPr>
              <w:spacing w:before="0" w:after="0" w:line="276" w:lineRule="auto"/>
            </w:pPr>
            <w:r>
              <w:rPr>
                <w:rFonts w:ascii="Times New Roman" w:hAnsi="Times New Roman" w:eastAsia="Times New Roman"/>
                <w:sz w:val="20"/>
              </w:rPr>
              <w:t>0.26(1), .612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.164 [−.989, .994]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Extraversion</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.050 [−.004, .104]</w:t>
            </w:r>
          </w:p>
        </w:tc>
        <w:tc>
          <w:tcPr>
            <w:tcW w:type="dxa" w:w="1872"/>
          </w:tcPr>
          <w:p>
            <w:pPr>
              <w:spacing w:before="0" w:after="0" w:line="276" w:lineRule="auto"/>
            </w:pPr>
            <w:r>
              <w:rPr>
                <w:rFonts w:ascii="Times New Roman" w:hAnsi="Times New Roman" w:eastAsia="Times New Roman"/>
                <w:sz w:val="20"/>
              </w:rPr>
              <w:t>46.43(1),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−.131 [−.314, .061]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Agreeableness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.030 [−.047, .106]</w:t>
            </w:r>
          </w:p>
        </w:tc>
        <w:tc>
          <w:tcPr>
            <w:tcW w:type="dxa" w:w="1872"/>
          </w:tcPr>
          <w:p>
            <w:pPr>
              <w:spacing w:before="0" w:after="0" w:line="276" w:lineRule="auto"/>
            </w:pPr>
            <w:r>
              <w:rPr>
                <w:rFonts w:ascii="Times New Roman" w:hAnsi="Times New Roman" w:eastAsia="Times New Roman"/>
                <w:sz w:val="20"/>
              </w:rPr>
              <w:t>2.17(1), .140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.330 [−.981, .995]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Neuroticism</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−.007 [−.130, .117]</w:t>
            </w:r>
          </w:p>
        </w:tc>
        <w:tc>
          <w:tcPr>
            <w:tcW w:type="dxa" w:w="1872"/>
          </w:tcPr>
          <w:p>
            <w:pPr>
              <w:spacing w:before="0" w:after="0" w:line="276" w:lineRule="auto"/>
            </w:pPr>
            <w:r>
              <w:rPr>
                <w:rFonts w:ascii="Times New Roman" w:hAnsi="Times New Roman" w:eastAsia="Times New Roman"/>
                <w:sz w:val="20"/>
              </w:rPr>
              <w:t>3.31(1), .069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.089 [.008, .169]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Conscientiousness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.208 [−.041, .434]</w:t>
            </w:r>
          </w:p>
        </w:tc>
        <w:tc>
          <w:tcPr>
            <w:tcW w:type="dxa" w:w="1872"/>
          </w:tcPr>
          <w:p>
            <w:pPr>
              <w:spacing w:before="0" w:after="0" w:line="276" w:lineRule="auto"/>
            </w:pPr>
            <w:r>
              <w:rPr>
                <w:rFonts w:ascii="Times New Roman" w:hAnsi="Times New Roman" w:eastAsia="Times New Roman"/>
                <w:sz w:val="20"/>
              </w:rPr>
              <w:t>0.13(1), .716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.179 [.095, .260]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Openness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.098 [−.423, .570]</w:t>
            </w:r>
          </w:p>
        </w:tc>
        <w:tc>
          <w:tcPr>
            <w:tcW w:type="dxa" w:w="1872"/>
          </w:tcPr>
          <w:p>
            <w:pPr>
              <w:spacing w:before="0" w:after="0" w:line="276" w:lineRule="auto"/>
            </w:pPr>
            <w:r>
              <w:rPr>
                <w:rFonts w:ascii="Times New Roman" w:hAnsi="Times New Roman" w:eastAsia="Times New Roman"/>
                <w:sz w:val="20"/>
              </w:rPr>
              <w:t>0.00(1), .994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.097 [−.123, .308]</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Extraversion</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[.002, .063]</w:t>
            </w:r>
          </w:p>
        </w:tc>
        <w:tc>
          <w:tcPr>
            <w:tcW w:type="dxa" w:w="1872"/>
          </w:tcPr>
          <w:p>
            <w:pPr>
              <w:spacing w:before="0" w:after="0" w:line="276" w:lineRule="auto"/>
            </w:pPr>
            <w:r>
              <w:rPr>
                <w:rFonts w:ascii="Times New Roman" w:hAnsi="Times New Roman" w:eastAsia="Times New Roman"/>
                <w:sz w:val="20"/>
              </w:rPr>
              <w:t>0.59(1), .443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−.014 [−.180, .153]</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Agreeableness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[−.162, .225]</w:t>
            </w:r>
          </w:p>
        </w:tc>
        <w:tc>
          <w:tcPr>
            <w:tcW w:type="dxa" w:w="1872"/>
          </w:tcPr>
          <w:p>
            <w:pPr>
              <w:spacing w:before="0" w:after="0" w:line="276" w:lineRule="auto"/>
            </w:pPr>
            <w:r>
              <w:rPr>
                <w:rFonts w:ascii="Times New Roman" w:hAnsi="Times New Roman" w:eastAsia="Times New Roman"/>
                <w:sz w:val="20"/>
              </w:rPr>
              <w:t>1.09(1), .296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.153 [−.141, .422]</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Neuroticism</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−.050 [−.173, .074]</w:t>
            </w:r>
          </w:p>
        </w:tc>
        <w:tc>
          <w:tcPr>
            <w:tcW w:type="dxa" w:w="1872"/>
          </w:tcPr>
          <w:p>
            <w:pPr>
              <w:spacing w:before="0" w:after="0" w:line="276" w:lineRule="auto"/>
            </w:pPr>
            <w:r>
              <w:rPr>
                <w:rFonts w:ascii="Times New Roman" w:hAnsi="Times New Roman" w:eastAsia="Times New Roman"/>
                <w:sz w:val="20"/>
              </w:rPr>
              <w:t>2.04(1), .153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.060 [−.125, .240]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Conscientiousness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.147 [.076, .217]</w:t>
            </w:r>
          </w:p>
        </w:tc>
        <w:tc>
          <w:tcPr>
            <w:tcW w:type="dxa" w:w="1872"/>
          </w:tcPr>
          <w:p>
            <w:pPr>
              <w:spacing w:before="0" w:after="0" w:line="276" w:lineRule="auto"/>
            </w:pPr>
            <w:r>
              <w:rPr>
                <w:rFonts w:ascii="Times New Roman" w:hAnsi="Times New Roman" w:eastAsia="Times New Roman"/>
                <w:sz w:val="20"/>
              </w:rPr>
              <w:t>2.40(1), .121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.225 [.126, .319]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Openness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.092 [−.068, .246]</w:t>
            </w:r>
          </w:p>
        </w:tc>
        <w:tc>
          <w:tcPr>
            <w:tcW w:type="dxa" w:w="1872"/>
          </w:tcPr>
          <w:p>
            <w:pPr>
              <w:spacing w:before="0" w:after="0" w:line="276" w:lineRule="auto"/>
            </w:pPr>
            <w:r>
              <w:rPr>
                <w:rFonts w:ascii="Times New Roman" w:hAnsi="Times New Roman" w:eastAsia="Times New Roman"/>
                <w:sz w:val="20"/>
              </w:rPr>
              <w:t>0.04(1), .839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.072 [−.027, .170]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Extraversion</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−.038 [−.134, .060]</w:t>
            </w:r>
          </w:p>
        </w:tc>
        <w:tc>
          <w:tcPr>
            <w:tcW w:type="dxa" w:w="1872"/>
          </w:tcPr>
          <w:p>
            <w:pPr>
              <w:spacing w:before="0" w:after="0" w:line="276" w:lineRule="auto"/>
            </w:pPr>
            <w:r>
              <w:rPr>
                <w:rFonts w:ascii="Times New Roman" w:hAnsi="Times New Roman" w:eastAsia="Times New Roman"/>
                <w:sz w:val="20"/>
              </w:rPr>
              <w:t>17.30(1),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.117 [.017, .214]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Agreeableness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.131 [−.088, .336]</w:t>
            </w:r>
          </w:p>
        </w:tc>
        <w:tc>
          <w:tcPr>
            <w:tcW w:type="dxa" w:w="1872"/>
          </w:tcPr>
          <w:p>
            <w:pPr>
              <w:spacing w:before="0" w:after="0" w:line="276" w:lineRule="auto"/>
            </w:pPr>
            <w:r>
              <w:rPr>
                <w:rFonts w:ascii="Times New Roman" w:hAnsi="Times New Roman" w:eastAsia="Times New Roman"/>
                <w:sz w:val="20"/>
              </w:rPr>
              <w:t>0.49(1), .485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.041 [−.056, .137]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Neuroticism</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−.009 [−.154, .137]</w:t>
            </w:r>
          </w:p>
        </w:tc>
        <w:tc>
          <w:tcPr>
            <w:tcW w:type="dxa" w:w="1872"/>
          </w:tcPr>
          <w:p>
            <w:pPr>
              <w:spacing w:before="0" w:after="0" w:line="276" w:lineRule="auto"/>
            </w:pPr>
            <w:r>
              <w:rPr>
                <w:rFonts w:ascii="Times New Roman" w:hAnsi="Times New Roman" w:eastAsia="Times New Roman"/>
                <w:sz w:val="20"/>
              </w:rPr>
              <w:t>0.82(1), .364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.120 [−.142, .364]</w:t>
            </w:r>
          </w:p>
        </w:tc>
        <w:tc>
          <w:tcPr>
            <w:tcW w:type="dxa" w:w="1872"/>
          </w:tcPr>
          <w:p>
            <w:pPr>
              <w:spacing w:before="0" w:after="0" w:line="276" w:lineRule="auto"/>
            </w:pPr>
            <w:r>
              <w:rPr>
                <w:rFonts w:ascii="Times New Roman" w:hAnsi="Times New Roman" w:eastAsia="Times New Roman"/>
                <w:sz w:val="20"/>
              </w:rPr>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studies contributing to each subgroup. </w:t>
      </w:r>
      <w:r>
        <w:rPr>
          <w:rFonts w:ascii="Times New Roman" w:hAnsi="Times New Roman" w:eastAsia="Times New Roman"/>
          <w:i/>
          <w:sz w:val="24"/>
        </w:rPr>
        <w:t>Q_between</w:t>
      </w:r>
      <w:r>
        <w:rPr>
          <w:rFonts w:ascii="Times New Roman" w:hAnsi="Times New Roman" w:eastAsia="Times New Roman"/>
          <w:sz w:val="24"/>
        </w:rPr>
        <w:t xml:space="preserve"> = between-subgroup heterogeneity statistic testing whether subgroups' pooled effects differ significantly. Dagger (†) indicates the two significant subgroup differences at </w:t>
      </w:r>
      <w:r>
        <w:rPr>
          <w:rFonts w:ascii="Times New Roman" w:hAnsi="Times New Roman" w:eastAsia="Times New Roman"/>
          <w:i/>
          <w:sz w:val="24"/>
        </w:rPr>
        <w:t>p</w:t>
      </w:r>
      <w:r>
        <w:rPr>
          <w:rFonts w:ascii="Times New Roman" w:hAnsi="Times New Roman" w:eastAsia="Times New Roman"/>
          <w:sz w:val="24"/>
        </w:rPr>
        <w:t xml:space="preserve"> &lt; .001 after Holm-Bonferroni correction within the Extraversion trait pool. Categorical levels: Asia = East or Middle Eastern samples; non-Asia = European, North American, or Other regions. Era: pre-COVID = data collected ≤2019; COVID-era = 2020–2022. Post-COVID studies (</w:t>
      </w:r>
      <w:r>
        <w:rPr>
          <w:rFonts w:ascii="Times New Roman" w:hAnsi="Times New Roman" w:eastAsia="Times New Roman"/>
          <w:i/>
          <w:sz w:val="24"/>
        </w:rPr>
        <w:t>k</w:t>
      </w:r>
      <w:r>
        <w:rPr>
          <w:rFonts w:ascii="Times New Roman" w:hAnsi="Times New Roman" w:eastAsia="Times New Roman"/>
          <w:sz w:val="24"/>
        </w:rPr>
        <w:t xml:space="preserve"> = 2) were insufficient for subgroup isolation. Outcome type: objective = GPA, course grade, standardized exam, or MOOC platform composite; self-rated = student self-reported performance.</w:t>
      </w:r>
    </w:p>
    <w:p>
      <w:r>
        <w:br w:type="page"/>
      </w:r>
    </w:p>
    <w:p>
      <w:pPr>
        <w:spacing w:line="480" w:lineRule="auto" w:before="0" w:after="0"/>
      </w:pPr>
      <w:r>
        <w:rPr>
          <w:rFonts w:ascii="Times New Roman" w:hAnsi="Times New Roman"/>
          <w:b/>
          <w:sz w:val="24"/>
        </w:rPr>
        <w:t>Table 4</w:t>
      </w:r>
    </w:p>
    <w:p>
      <w:pPr>
        <w:spacing w:line="480" w:lineRule="auto" w:before="0" w:after="0"/>
      </w:pPr>
      <w:r>
        <w:rPr>
          <w:rFonts w:ascii="Times New Roman" w:hAnsi="Times New Roman"/>
          <w:i/>
          <w:sz w:val="24"/>
        </w:rPr>
        <w:t>Pre-Specified Sensitivity Analyses of the Primary Pooled Effect Sizes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Trait</w:t>
            </w:r>
          </w:p>
        </w:tc>
        <w:tc>
          <w:tcPr>
            <w:tcW w:type="dxa" w:w="1872"/>
          </w:tcPr>
          <w:p>
            <w:pPr>
              <w:spacing w:before="0" w:after="0" w:line="276" w:lineRule="auto"/>
            </w:pPr>
            <w:r>
              <w:rPr>
                <w:rFonts w:ascii="Times New Roman" w:hAnsi="Times New Roman" w:eastAsia="Times New Roman"/>
                <w:b/>
                <w:sz w:val="20"/>
              </w:rPr>
              <w:t>Analysis</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b/>
                <w:sz w:val="20"/>
              </w:rPr>
              <w:t>Δr vs primary</w:t>
            </w:r>
          </w:p>
        </w:tc>
      </w:tr>
      <w:tr>
        <w:tc>
          <w:tcPr>
            <w:tcW w:type="dxa" w:w="1872"/>
          </w:tcPr>
          <w:p>
            <w:pPr>
              <w:spacing w:before="0" w:after="0" w:line="276" w:lineRule="auto"/>
            </w:pPr>
            <w:r>
              <w:rPr>
                <w:rFonts w:ascii="Times New Roman" w:hAnsi="Times New Roman" w:eastAsia="Times New Roman"/>
                <w:sz w:val="20"/>
              </w:rPr>
              <w:t>Conscientiousness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.203 [.095, .307]</w:t>
            </w:r>
          </w:p>
        </w:tc>
        <w:tc>
          <w:tcPr>
            <w:tcW w:type="dxa" w:w="1872"/>
          </w:tcPr>
          <w:p>
            <w:pPr>
              <w:spacing w:before="0" w:after="0" w:line="276" w:lineRule="auto"/>
            </w:pPr>
            <w:r>
              <w:rPr>
                <w:rFonts w:ascii="Times New Roman" w:hAnsi="Times New Roman" w:eastAsia="Times New Roman"/>
                <w:sz w:val="20"/>
              </w:rPr>
              <w:t>+.036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.182 [.099, .262]</w:t>
            </w:r>
          </w:p>
        </w:tc>
        <w:tc>
          <w:tcPr>
            <w:tcW w:type="dxa" w:w="1872"/>
          </w:tcPr>
          <w:p>
            <w:pPr>
              <w:spacing w:before="0" w:after="0" w:line="276" w:lineRule="auto"/>
            </w:pPr>
            <w:r>
              <w:rPr>
                <w:rFonts w:ascii="Times New Roman" w:hAnsi="Times New Roman" w:eastAsia="Times New Roman"/>
                <w:sz w:val="20"/>
              </w:rPr>
              <w:t>+.015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2.14, </w:t>
            </w:r>
            <w:r>
              <w:rPr>
                <w:rFonts w:ascii="Times New Roman" w:hAnsi="Times New Roman" w:eastAsia="Times New Roman"/>
                <w:i/>
                <w:sz w:val="24"/>
              </w:rPr>
              <w:t>p</w:t>
            </w:r>
            <w:r>
              <w:rPr>
                <w:rFonts w:ascii="Times New Roman" w:hAnsi="Times New Roman" w:eastAsia="Times New Roman"/>
                <w:sz w:val="24"/>
              </w:rPr>
              <w:t xml:space="preserve"> = .094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Openness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.031 [−.127, .184]</w:t>
            </w:r>
          </w:p>
        </w:tc>
        <w:tc>
          <w:tcPr>
            <w:tcW w:type="dxa" w:w="1872"/>
          </w:tcPr>
          <w:p>
            <w:pPr>
              <w:spacing w:before="0" w:after="0" w:line="276" w:lineRule="auto"/>
            </w:pPr>
            <w:r>
              <w:rPr>
                <w:rFonts w:ascii="Times New Roman" w:hAnsi="Times New Roman" w:eastAsia="Times New Roman"/>
                <w:sz w:val="20"/>
              </w:rPr>
              <w:t>−.055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.097 [−.040, .228]</w:t>
            </w:r>
          </w:p>
        </w:tc>
        <w:tc>
          <w:tcPr>
            <w:tcW w:type="dxa" w:w="1872"/>
          </w:tcPr>
          <w:p>
            <w:pPr>
              <w:spacing w:before="0" w:after="0" w:line="276" w:lineRule="auto"/>
            </w:pPr>
            <w:r>
              <w:rPr>
                <w:rFonts w:ascii="Times New Roman" w:hAnsi="Times New Roman" w:eastAsia="Times New Roman"/>
                <w:sz w:val="20"/>
              </w:rPr>
              <w:t>+.011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−6.41, </w:t>
            </w:r>
            <w:r>
              <w:rPr>
                <w:rFonts w:ascii="Times New Roman" w:hAnsi="Times New Roman" w:eastAsia="Times New Roman"/>
                <w:i/>
                <w:sz w:val="24"/>
              </w:rPr>
              <w:t>p</w:t>
            </w:r>
            <w:r>
              <w:rPr>
                <w:rFonts w:ascii="Times New Roman" w:hAnsi="Times New Roman" w:eastAsia="Times New Roman"/>
                <w:sz w:val="24"/>
              </w:rPr>
              <w:t xml:space="preserve"> = .045 †</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.107 [−.017, .228]</w:t>
            </w:r>
          </w:p>
        </w:tc>
        <w:tc>
          <w:tcPr>
            <w:tcW w:type="dxa" w:w="1872"/>
          </w:tcPr>
          <w:p>
            <w:pPr>
              <w:spacing w:before="0" w:after="0" w:line="276" w:lineRule="auto"/>
            </w:pPr>
            <w:r>
              <w:rPr>
                <w:rFonts w:ascii="Times New Roman" w:hAnsi="Times New Roman" w:eastAsia="Times New Roman"/>
                <w:sz w:val="20"/>
              </w:rPr>
              <w:t>+.021</w:t>
            </w:r>
          </w:p>
        </w:tc>
      </w:tr>
      <w:tr>
        <w:tc>
          <w:tcPr>
            <w:tcW w:type="dxa" w:w="1872"/>
          </w:tcPr>
          <w:p>
            <w:pPr>
              <w:spacing w:before="0" w:after="0" w:line="276" w:lineRule="auto"/>
            </w:pPr>
            <w:r>
              <w:rPr>
                <w:rFonts w:ascii="Times New Roman" w:hAnsi="Times New Roman" w:eastAsia="Times New Roman"/>
                <w:sz w:val="20"/>
              </w:rPr>
              <w:t>Extraversion</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.018 [−.081, .117]</w:t>
            </w:r>
          </w:p>
        </w:tc>
        <w:tc>
          <w:tcPr>
            <w:tcW w:type="dxa" w:w="1872"/>
          </w:tcPr>
          <w:p>
            <w:pPr>
              <w:spacing w:before="0" w:after="0" w:line="276" w:lineRule="auto"/>
            </w:pPr>
            <w:r>
              <w:rPr>
                <w:rFonts w:ascii="Times New Roman" w:hAnsi="Times New Roman" w:eastAsia="Times New Roman"/>
                <w:sz w:val="20"/>
              </w:rPr>
              <w:t>+.016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.003 [−.080, .086]</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2.29, </w:t>
            </w:r>
            <w:r>
              <w:rPr>
                <w:rFonts w:ascii="Times New Roman" w:hAnsi="Times New Roman" w:eastAsia="Times New Roman"/>
                <w:i/>
                <w:sz w:val="24"/>
              </w:rPr>
              <w:t>p</w:t>
            </w:r>
            <w:r>
              <w:rPr>
                <w:rFonts w:ascii="Times New Roman" w:hAnsi="Times New Roman" w:eastAsia="Times New Roman"/>
                <w:sz w:val="24"/>
              </w:rPr>
              <w:t xml:space="preserve"> = .255</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11</w:t>
            </w:r>
          </w:p>
        </w:tc>
        <w:tc>
          <w:tcPr>
            <w:tcW w:type="dxa" w:w="1872"/>
          </w:tcPr>
          <w:p>
            <w:pPr>
              <w:spacing w:before="0" w:after="0" w:line="276" w:lineRule="auto"/>
            </w:pPr>
            <w:r>
              <w:rPr>
                <w:rFonts w:ascii="Times New Roman" w:hAnsi="Times New Roman" w:eastAsia="Times New Roman"/>
                <w:sz w:val="20"/>
              </w:rPr>
              <w:t>−.036 [−.117, .046]</w:t>
            </w:r>
          </w:p>
        </w:tc>
        <w:tc>
          <w:tcPr>
            <w:tcW w:type="dxa" w:w="1872"/>
          </w:tcPr>
          <w:p>
            <w:pPr>
              <w:spacing w:before="0" w:after="0" w:line="276" w:lineRule="auto"/>
            </w:pPr>
            <w:r>
              <w:rPr>
                <w:rFonts w:ascii="Times New Roman" w:hAnsi="Times New Roman" w:eastAsia="Times New Roman"/>
                <w:sz w:val="20"/>
              </w:rPr>
              <w:t>−.038</w:t>
            </w:r>
          </w:p>
        </w:tc>
      </w:tr>
      <w:tr>
        <w:tc>
          <w:tcPr>
            <w:tcW w:type="dxa" w:w="1872"/>
          </w:tcPr>
          <w:p>
            <w:pPr>
              <w:spacing w:before="0" w:after="0" w:line="276" w:lineRule="auto"/>
            </w:pPr>
            <w:r>
              <w:rPr>
                <w:rFonts w:ascii="Times New Roman" w:hAnsi="Times New Roman" w:eastAsia="Times New Roman"/>
                <w:sz w:val="20"/>
              </w:rPr>
              <w:t>Agreeableness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.067 [−.089, .219]</w:t>
            </w:r>
          </w:p>
        </w:tc>
        <w:tc>
          <w:tcPr>
            <w:tcW w:type="dxa" w:w="1872"/>
          </w:tcPr>
          <w:p>
            <w:pPr>
              <w:spacing w:before="0" w:after="0" w:line="276" w:lineRule="auto"/>
            </w:pPr>
            <w:r>
              <w:rPr>
                <w:rFonts w:ascii="Times New Roman" w:hAnsi="Times New Roman" w:eastAsia="Times New Roman"/>
                <w:sz w:val="20"/>
              </w:rPr>
              <w:t>−.045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.126 [−.028, .273]</w:t>
            </w:r>
          </w:p>
        </w:tc>
        <w:tc>
          <w:tcPr>
            <w:tcW w:type="dxa" w:w="1872"/>
          </w:tcPr>
          <w:p>
            <w:pPr>
              <w:spacing w:before="0" w:after="0" w:line="276" w:lineRule="auto"/>
            </w:pPr>
            <w:r>
              <w:rPr>
                <w:rFonts w:ascii="Times New Roman" w:hAnsi="Times New Roman" w:eastAsia="Times New Roman"/>
                <w:sz w:val="20"/>
              </w:rPr>
              <w:t>+.014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−8.53, </w:t>
            </w:r>
            <w:r>
              <w:rPr>
                <w:rFonts w:ascii="Times New Roman" w:hAnsi="Times New Roman" w:eastAsia="Times New Roman"/>
                <w:i/>
                <w:sz w:val="24"/>
              </w:rPr>
              <w:t>p</w:t>
            </w:r>
            <w:r>
              <w:rPr>
                <w:rFonts w:ascii="Times New Roman" w:hAnsi="Times New Roman" w:eastAsia="Times New Roman"/>
                <w:sz w:val="24"/>
              </w:rPr>
              <w:t xml:space="preserve"> = .072</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Neuroticism</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−.043 [−.165, .082]</w:t>
            </w:r>
          </w:p>
        </w:tc>
        <w:tc>
          <w:tcPr>
            <w:tcW w:type="dxa" w:w="1872"/>
          </w:tcPr>
          <w:p>
            <w:pPr>
              <w:spacing w:before="0" w:after="0" w:line="276" w:lineRule="auto"/>
            </w:pPr>
            <w:r>
              <w:rPr>
                <w:rFonts w:ascii="Times New Roman" w:hAnsi="Times New Roman" w:eastAsia="Times New Roman"/>
                <w:sz w:val="20"/>
              </w:rPr>
              <w:t>−.061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.019 [−.084, .121]</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−1.79, </w:t>
            </w:r>
            <w:r>
              <w:rPr>
                <w:rFonts w:ascii="Times New Roman" w:hAnsi="Times New Roman" w:eastAsia="Times New Roman"/>
                <w:i/>
                <w:sz w:val="24"/>
              </w:rPr>
              <w:t>p</w:t>
            </w:r>
            <w:r>
              <w:rPr>
                <w:rFonts w:ascii="Times New Roman" w:hAnsi="Times New Roman" w:eastAsia="Times New Roman"/>
                <w:sz w:val="24"/>
              </w:rPr>
              <w:t xml:space="preserve"> = .304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bl>
    <w:p>
      <w:pPr>
        <w:spacing w:line="480" w:lineRule="auto" w:before="0" w:after="0"/>
      </w:pPr>
      <w:r>
        <w:rPr>
          <w:rFonts w:ascii="Times New Roman" w:hAnsi="Times New Roman" w:eastAsia="Times New Roman"/>
          <w:sz w:val="24"/>
        </w:rPr>
        <w:t xml:space="preserve">Note. Δr = change in pooled correlation from the primary analysis. A double dagger (‡) denotes a sensitivity-analysis-induced shift exceeding |Δr| = .05, which is considered potentially influential per the pre-registered threshold. A single dagger (†) denotes a significant Egger test at </w:t>
      </w:r>
      <w:r>
        <w:rPr>
          <w:rFonts w:ascii="Times New Roman" w:hAnsi="Times New Roman" w:eastAsia="Times New Roman"/>
          <w:i/>
          <w:sz w:val="24"/>
        </w:rPr>
        <w:t>p</w:t>
      </w:r>
      <w:r>
        <w:rPr>
          <w:rFonts w:ascii="Times New Roman" w:hAnsi="Times New Roman" w:eastAsia="Times New Roman"/>
          <w:sz w:val="24"/>
        </w:rPr>
        <w:t xml:space="preserve"> &lt; .05. "Exclude Tokiwa (COI)" removes the present author's prior primary study (Tokiwa, 2025); the zero delta reflects that this study did not contribute a direct </w:t>
      </w:r>
      <w:r>
        <w:rPr>
          <w:rFonts w:ascii="Times New Roman" w:hAnsi="Times New Roman" w:eastAsia="Times New Roman"/>
          <w:i/>
          <w:sz w:val="24"/>
        </w:rPr>
        <w:t>r</w:t>
      </w:r>
      <w:r>
        <w:rPr>
          <w:rFonts w:ascii="Times New Roman" w:hAnsi="Times New Roman" w:eastAsia="Times New Roman"/>
          <w:sz w:val="24"/>
        </w:rPr>
        <w:t xml:space="preserve"> to the primary pool. "Exclude β-converted" restricts the pool to studies reporting direct Pearson </w:t>
      </w:r>
      <w:r>
        <w:rPr>
          <w:rFonts w:ascii="Times New Roman" w:hAnsi="Times New Roman" w:eastAsia="Times New Roman"/>
          <w:i/>
          <w:sz w:val="24"/>
        </w:rPr>
        <w:t>r</w:t>
      </w:r>
      <w:r>
        <w:rPr>
          <w:rFonts w:ascii="Times New Roman" w:hAnsi="Times New Roman" w:eastAsia="Times New Roman"/>
          <w:sz w:val="24"/>
        </w:rPr>
        <w:t xml:space="preserve"> or Spearman </w:t>
      </w:r>
      <w:r>
        <w:rPr>
          <w:rFonts w:ascii="Times New Roman" w:hAnsi="Times New Roman" w:eastAsia="Times New Roman"/>
          <w:i/>
          <w:sz w:val="24"/>
        </w:rPr>
        <w:t>ρ</w:t>
      </w:r>
      <w:r>
        <w:rPr>
          <w:rFonts w:ascii="Times New Roman" w:hAnsi="Times New Roman" w:eastAsia="Times New Roman"/>
          <w:sz w:val="24"/>
        </w:rPr>
        <w:t>. "Exclude RoB &lt; 5" removes studies scoring below the pre-specified low-bias threshold of 5 on the JBI 8-item checklist.</w:t>
      </w:r>
    </w:p>
    <w:p>
      <w:r>
        <w:br w:type="page"/>
      </w:r>
    </w:p>
    <w:p>
      <w:pPr>
        <w:spacing w:line="480" w:lineRule="auto" w:before="0" w:after="0"/>
      </w:pPr>
      <w:r>
        <w:rPr>
          <w:rFonts w:ascii="Times New Roman" w:hAnsi="Times New Roman"/>
          <w:b/>
          <w:sz w:val="24"/>
        </w:rPr>
        <w:t>Table 5</w:t>
      </w:r>
    </w:p>
    <w:p>
      <w:pPr>
        <w:spacing w:line="480" w:lineRule="auto" w:before="0" w:after="0"/>
      </w:pPr>
      <w:r>
        <w:rPr>
          <w:rFonts w:ascii="Times New Roman" w:hAnsi="Times New Roman"/>
          <w:i/>
          <w:sz w:val="24"/>
        </w:rPr>
        <w:t>GRADE Summary of Findings: Confidence in the Pooled Associations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before="0" w:after="0" w:line="276" w:lineRule="auto"/>
            </w:pPr>
            <w:r>
              <w:rPr>
                <w:rFonts w:ascii="Times New Roman" w:hAnsi="Times New Roman" w:eastAsia="Times New Roman"/>
                <w:sz w:val="24"/>
              </w:rPr>
              <w:t>Trait (</w:t>
            </w:r>
            <w:r>
              <w:rPr>
                <w:rFonts w:ascii="Times New Roman" w:hAnsi="Times New Roman" w:eastAsia="Times New Roman"/>
                <w:i/>
                <w:sz w:val="24"/>
              </w:rPr>
              <w:t>k</w:t>
            </w:r>
            <w:r>
              <w:rPr>
                <w:rFonts w:ascii="Times New Roman" w:hAnsi="Times New Roman" w:eastAsia="Times New Roman"/>
                <w:sz w:val="24"/>
              </w:rPr>
              <w:t xml:space="preserve">, </w:t>
            </w:r>
            <w:r>
              <w:rPr>
                <w:rFonts w:ascii="Times New Roman" w:hAnsi="Times New Roman" w:eastAsia="Times New Roman"/>
                <w:i/>
                <w:sz w:val="24"/>
              </w:rPr>
              <w:t>N</w:t>
            </w:r>
            <w:r>
              <w:rPr>
                <w:rFonts w:ascii="Times New Roman" w:hAnsi="Times New Roman" w:eastAsia="Times New Roman"/>
                <w:sz w:val="24"/>
              </w:rPr>
              <w:t>)</w:t>
            </w:r>
          </w:p>
        </w:tc>
        <w:tc>
          <w:tcPr>
            <w:tcW w:type="dxa" w:w="1170"/>
          </w:tcPr>
          <w:p>
            <w:pPr>
              <w:spacing w:before="0" w:after="0" w:line="276" w:lineRule="auto"/>
            </w:pPr>
            <w:r>
              <w:rPr>
                <w:rFonts w:ascii="Times New Roman" w:hAnsi="Times New Roman" w:eastAsia="Times New Roman"/>
                <w:b/>
                <w:sz w:val="20"/>
              </w:rPr>
              <w:t>Risk of Bias</w:t>
            </w:r>
          </w:p>
        </w:tc>
        <w:tc>
          <w:tcPr>
            <w:tcW w:type="dxa" w:w="1170"/>
          </w:tcPr>
          <w:p>
            <w:pPr>
              <w:spacing w:before="0" w:after="0" w:line="276" w:lineRule="auto"/>
            </w:pPr>
            <w:r>
              <w:rPr>
                <w:rFonts w:ascii="Times New Roman" w:hAnsi="Times New Roman" w:eastAsia="Times New Roman"/>
                <w:b/>
                <w:sz w:val="20"/>
              </w:rPr>
              <w:t>Inconsistency</w:t>
            </w:r>
          </w:p>
        </w:tc>
        <w:tc>
          <w:tcPr>
            <w:tcW w:type="dxa" w:w="1170"/>
          </w:tcPr>
          <w:p>
            <w:pPr>
              <w:spacing w:before="0" w:after="0" w:line="276" w:lineRule="auto"/>
            </w:pPr>
            <w:r>
              <w:rPr>
                <w:rFonts w:ascii="Times New Roman" w:hAnsi="Times New Roman" w:eastAsia="Times New Roman"/>
                <w:b/>
                <w:sz w:val="20"/>
              </w:rPr>
              <w:t>Indirectness</w:t>
            </w:r>
          </w:p>
        </w:tc>
        <w:tc>
          <w:tcPr>
            <w:tcW w:type="dxa" w:w="1170"/>
          </w:tcPr>
          <w:p>
            <w:pPr>
              <w:spacing w:before="0" w:after="0" w:line="276" w:lineRule="auto"/>
            </w:pPr>
            <w:r>
              <w:rPr>
                <w:rFonts w:ascii="Times New Roman" w:hAnsi="Times New Roman" w:eastAsia="Times New Roman"/>
                <w:b/>
                <w:sz w:val="20"/>
              </w:rPr>
              <w:t>Imprecision</w:t>
            </w:r>
          </w:p>
        </w:tc>
        <w:tc>
          <w:tcPr>
            <w:tcW w:type="dxa" w:w="1170"/>
          </w:tcPr>
          <w:p>
            <w:pPr>
              <w:spacing w:before="0" w:after="0" w:line="276" w:lineRule="auto"/>
            </w:pPr>
            <w:r>
              <w:rPr>
                <w:rFonts w:ascii="Times New Roman" w:hAnsi="Times New Roman" w:eastAsia="Times New Roman"/>
                <w:b/>
                <w:sz w:val="20"/>
              </w:rPr>
              <w:t>Publication Bias</w:t>
            </w:r>
          </w:p>
        </w:tc>
        <w:tc>
          <w:tcPr>
            <w:tcW w:type="dxa" w:w="1170"/>
          </w:tcPr>
          <w:p>
            <w:pPr>
              <w:spacing w:before="0" w:after="0" w:line="276" w:lineRule="auto"/>
            </w:pPr>
            <w:r>
              <w:rPr>
                <w:rFonts w:ascii="Times New Roman" w:hAnsi="Times New Roman" w:eastAsia="Times New Roman"/>
                <w:b/>
                <w:sz w:val="20"/>
              </w:rPr>
              <w:t>Magnitude</w:t>
            </w:r>
          </w:p>
        </w:tc>
        <w:tc>
          <w:tcPr>
            <w:tcW w:type="dxa" w:w="1170"/>
          </w:tcPr>
          <w:p>
            <w:pPr>
              <w:spacing w:before="0" w:after="0" w:line="276" w:lineRule="auto"/>
            </w:pPr>
            <w:r>
              <w:rPr>
                <w:rFonts w:ascii="Times New Roman" w:hAnsi="Times New Roman" w:eastAsia="Times New Roman"/>
                <w:b/>
                <w:sz w:val="20"/>
              </w:rPr>
              <w:t>GRADE</w:t>
            </w:r>
          </w:p>
        </w:tc>
      </w:tr>
      <w:tr>
        <w:tc>
          <w:tcPr>
            <w:tcW w:type="dxa" w:w="1170"/>
          </w:tcPr>
          <w:p>
            <w:pPr>
              <w:spacing w:before="0" w:after="0" w:line="276" w:lineRule="auto"/>
            </w:pPr>
            <w:r>
              <w:rPr>
                <w:rFonts w:ascii="Times New Roman" w:hAnsi="Times New Roman" w:eastAsia="Times New Roman"/>
                <w:sz w:val="24"/>
              </w:rPr>
              <w:t>Conscientiousness</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JBI=5.9)</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=65.1%)</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(CI width=.15)</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=.094)</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=.167)</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Openness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=92.0%)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=.045)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=.086)</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Extraversion</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JBI=5.8)</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=75.5%)</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(null robust)</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=.255)</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=.002)</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Agreeableness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=96.2%)</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=.072)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=.112)</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Neuroticism</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JBI=5.9)</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=79.0%)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(null, wide CI)</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=.304)</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=.018)</w:t>
            </w:r>
          </w:p>
        </w:tc>
        <w:tc>
          <w:tcPr>
            <w:tcW w:type="dxa" w:w="1170"/>
          </w:tcPr>
          <w:p>
            <w:pPr>
              <w:spacing w:before="0" w:after="0" w:line="276" w:lineRule="auto"/>
            </w:pPr>
            <w:r>
              <w:rPr>
                <w:rFonts w:ascii="Times New Roman" w:hAnsi="Times New Roman" w:eastAsia="Times New Roman"/>
                <w:sz w:val="20"/>
              </w:rPr>
              <w:t>Low</w:t>
            </w:r>
          </w:p>
        </w:tc>
      </w:tr>
    </w:tbl>
    <w:p>
      <w:pPr>
        <w:spacing w:line="480" w:lineRule="auto" w:before="0" w:after="0"/>
      </w:pPr>
      <w:r>
        <w:rPr>
          <w:rFonts w:ascii="Times New Roman" w:hAnsi="Times New Roman" w:eastAsia="Times New Roman"/>
          <w:sz w:val="24"/>
        </w:rPr>
        <w:t>Note. GRADE = Grading of Recommendations, Assessment, Development and Evaluations, adapted for observational correlational syntheses (Schünemann et al., 2019). Five standard domains are evaluated per trait: Risk of Bias (mean JBI aggregate score across studies in the pool; serious if mean &lt; 5), Inconsistency (</w:t>
      </w:r>
      <w:r>
        <w:rPr>
          <w:rFonts w:ascii="Times New Roman" w:hAnsi="Times New Roman" w:eastAsia="Times New Roman"/>
          <w:i/>
          <w:sz w:val="24"/>
        </w:rPr>
        <w:t>I²</w:t>
      </w:r>
      <w:r>
        <w:rPr>
          <w:rFonts w:ascii="Times New Roman" w:hAnsi="Times New Roman" w:eastAsia="Times New Roman"/>
          <w:sz w:val="24"/>
        </w:rPr>
        <w:t xml:space="preserve"> and prediction interval; serious if </w:t>
      </w:r>
      <w:r>
        <w:rPr>
          <w:rFonts w:ascii="Times New Roman" w:hAnsi="Times New Roman" w:eastAsia="Times New Roman"/>
          <w:i/>
          <w:sz w:val="24"/>
        </w:rPr>
        <w:t>I²</w:t>
      </w:r>
      <w:r>
        <w:rPr>
          <w:rFonts w:ascii="Times New Roman" w:hAnsi="Times New Roman" w:eastAsia="Times New Roman"/>
          <w:sz w:val="24"/>
        </w:rPr>
        <w:t xml:space="preserve"> &gt; 50%, very serious if </w:t>
      </w:r>
      <w:r>
        <w:rPr>
          <w:rFonts w:ascii="Times New Roman" w:hAnsi="Times New Roman" w:eastAsia="Times New Roman"/>
          <w:i/>
          <w:sz w:val="24"/>
        </w:rPr>
        <w:t>I²</w:t>
      </w:r>
      <w:r>
        <w:rPr>
          <w:rFonts w:ascii="Times New Roman" w:hAnsi="Times New Roman" w:eastAsia="Times New Roman"/>
          <w:sz w:val="24"/>
        </w:rPr>
        <w:t xml:space="preserve"> &gt; 75%), Indirectness (population, exposure, or outcome indirectness relative to the review question), Imprecision (serious if 95% CI crosses the null or is wider than 2 × MOI of |r| = .10), and Publication Bias (serious if Egger's test is significant at </w:t>
      </w:r>
      <w:r>
        <w:rPr>
          <w:rFonts w:ascii="Times New Roman" w:hAnsi="Times New Roman" w:eastAsia="Times New Roman"/>
          <w:i/>
          <w:sz w:val="24"/>
        </w:rPr>
        <w:t>p</w:t>
      </w:r>
      <w:r>
        <w:rPr>
          <w:rFonts w:ascii="Times New Roman" w:hAnsi="Times New Roman" w:eastAsia="Times New Roman"/>
          <w:sz w:val="24"/>
        </w:rPr>
        <w:t xml:space="preserve"> &lt; .05 with asymmetric funnel plot). Magnitude (|r|) is provided for descriptive context but was not grounds for upgrade under the large-magnitude criterion of |r| ≥ .30. Dagger (†) denotes Egger's test intercept suggestive of small-study or publication bias. GRADE ratings: High = further research is very unlikely to change confidence; Moderate = further research is likely to have an important impact; Low = further research is very likely to have an important impact; Very Low = any estimate of effect is very uncertain. All estimates in the present synthesis fall within the Moderate-to-Low confidence range, reflecting the modest </w:t>
      </w:r>
      <w:r>
        <w:rPr>
          <w:rFonts w:ascii="Times New Roman" w:hAnsi="Times New Roman" w:eastAsia="Times New Roman"/>
          <w:i/>
          <w:sz w:val="24"/>
        </w:rPr>
        <w:t>k</w:t>
      </w:r>
      <w:r>
        <w:rPr>
          <w:rFonts w:ascii="Times New Roman" w:hAnsi="Times New Roman" w:eastAsia="Times New Roman"/>
          <w:sz w:val="24"/>
        </w:rPr>
        <w:t xml:space="preserve"> of the available online-specific literature.</w:t>
      </w:r>
    </w:p>
    <w:p>
      <w:r>
        <w:br w:type="page"/>
      </w:r>
    </w:p>
    <w:p>
      <w:pPr>
        <w:spacing w:line="480" w:lineRule="auto" w:before="0" w:after="0"/>
      </w:pPr>
      <w:r>
        <w:rPr>
          <w:rFonts w:ascii="Times New Roman" w:hAnsi="Times New Roman"/>
          <w:b/>
          <w:sz w:val="24"/>
        </w:rPr>
        <w:t>Figure 1</w:t>
      </w:r>
    </w:p>
    <w:p>
      <w:pPr>
        <w:spacing w:line="480" w:lineRule="auto" w:before="0" w:after="0"/>
      </w:pPr>
      <w:r>
        <w:rPr>
          <w:rFonts w:ascii="Times New Roman" w:hAnsi="Times New Roman"/>
          <w:i/>
          <w:sz w:val="24"/>
        </w:rPr>
        <w:t>PRISMA 2020 Flow Diagram of the Study Selection Process</w:t>
      </w:r>
    </w:p>
    <w:p>
      <w:pPr>
        <w:jc w:val="center"/>
      </w:pPr>
      <w:r>
        <w:drawing>
          <wp:inline xmlns:a="http://schemas.openxmlformats.org/drawingml/2006/main" xmlns:pic="http://schemas.openxmlformats.org/drawingml/2006/picture">
            <wp:extent cx="5486400" cy="7251492"/>
            <wp:docPr id="1" name="Picture 1"/>
            <wp:cNvGraphicFramePr>
              <a:graphicFrameLocks noChangeAspect="1"/>
            </wp:cNvGraphicFramePr>
            <a:graphic>
              <a:graphicData uri="http://schemas.openxmlformats.org/drawingml/2006/picture">
                <pic:pic>
                  <pic:nvPicPr>
                    <pic:cNvPr id="0" name="prisma_flow.png"/>
                    <pic:cNvPicPr/>
                  </pic:nvPicPr>
                  <pic:blipFill>
                    <a:blip r:embed="rId9"/>
                    <a:stretch>
                      <a:fillRect/>
                    </a:stretch>
                  </pic:blipFill>
                  <pic:spPr>
                    <a:xfrm>
                      <a:off x="0" y="0"/>
                      <a:ext cx="5486400" cy="7251492"/>
                    </a:xfrm>
                    <a:prstGeom prst="rect"/>
                  </pic:spPr>
                </pic:pic>
              </a:graphicData>
            </a:graphic>
          </wp:inline>
        </w:drawing>
      </w:r>
    </w:p>
    <w:p>
      <w:pPr>
        <w:spacing w:line="480" w:lineRule="auto" w:before="0" w:after="0"/>
      </w:pPr>
      <w:r>
        <w:rPr>
          <w:rFonts w:ascii="Times New Roman" w:hAnsi="Times New Roman" w:eastAsia="Times New Roman"/>
          <w:sz w:val="24"/>
        </w:rPr>
        <w:t>Note. Flow diagram adapted from the PRISMA 2020 statement (Page et al., 2021). Records were identified through WebSearch-based formal search (</w:t>
      </w:r>
      <w:r>
        <w:rPr>
          <w:rFonts w:ascii="Times New Roman" w:hAnsi="Times New Roman" w:eastAsia="Times New Roman"/>
          <w:i/>
          <w:sz w:val="24"/>
        </w:rPr>
        <w:t>n</w:t>
      </w:r>
      <w:r>
        <w:rPr>
          <w:rFonts w:ascii="Times New Roman" w:hAnsi="Times New Roman" w:eastAsia="Times New Roman"/>
          <w:sz w:val="24"/>
        </w:rPr>
        <w:t xml:space="preserve"> = 80 from eight structured queries), preliminary informal search yielding a previously curated corpus (</w:t>
      </w:r>
      <w:r>
        <w:rPr>
          <w:rFonts w:ascii="Times New Roman" w:hAnsi="Times New Roman" w:eastAsia="Times New Roman"/>
          <w:i/>
          <w:sz w:val="24"/>
        </w:rPr>
        <w:t>n</w:t>
      </w:r>
      <w:r>
        <w:rPr>
          <w:rFonts w:ascii="Times New Roman" w:hAnsi="Times New Roman" w:eastAsia="Times New Roman"/>
          <w:sz w:val="24"/>
        </w:rPr>
        <w:t xml:space="preserve"> = 28), and citation snowballing combined with open-access repository downloads (</w:t>
      </w:r>
      <w:r>
        <w:rPr>
          <w:rFonts w:ascii="Times New Roman" w:hAnsi="Times New Roman" w:eastAsia="Times New Roman"/>
          <w:i/>
          <w:sz w:val="24"/>
        </w:rPr>
        <w:t>n</w:t>
      </w:r>
      <w:r>
        <w:rPr>
          <w:rFonts w:ascii="Times New Roman" w:hAnsi="Times New Roman" w:eastAsia="Times New Roman"/>
          <w:sz w:val="24"/>
        </w:rPr>
        <w:t xml:space="preserve"> = 12), for a total of 120 records. After deduplication (</w:t>
      </w:r>
      <w:r>
        <w:rPr>
          <w:rFonts w:ascii="Times New Roman" w:hAnsi="Times New Roman" w:eastAsia="Times New Roman"/>
          <w:i/>
          <w:sz w:val="24"/>
        </w:rPr>
        <w:t>n</w:t>
      </w:r>
      <w:r>
        <w:rPr>
          <w:rFonts w:ascii="Times New Roman" w:hAnsi="Times New Roman" w:eastAsia="Times New Roman"/>
          <w:sz w:val="24"/>
        </w:rPr>
        <w:t xml:space="preserve"> = 40 removed), 80 records underwent title and abstract screening, with 25 excluded primarily for wrong population, non-Big-Five personality frameworks, or no online learning component. Of 43 full-text reports sought, 5 were not retrievable (paywall), and 38 were assessed for eligibility. Seven reports were excluded at the full-text stage with explicit reasons: non-Big-Five framework (</w:t>
      </w:r>
      <w:r>
        <w:rPr>
          <w:rFonts w:ascii="Times New Roman" w:hAnsi="Times New Roman" w:eastAsia="Times New Roman"/>
          <w:i/>
          <w:sz w:val="24"/>
        </w:rPr>
        <w:t>n</w:t>
      </w:r>
      <w:r>
        <w:rPr>
          <w:rFonts w:ascii="Times New Roman" w:hAnsi="Times New Roman" w:eastAsia="Times New Roman"/>
          <w:sz w:val="24"/>
        </w:rPr>
        <w:t xml:space="preserve"> = 5; MBTI, Proactive Personality, TAM, TUE, and other non-FFM operationalization), face-to-face modality (</w:t>
      </w:r>
      <w:r>
        <w:rPr>
          <w:rFonts w:ascii="Times New Roman" w:hAnsi="Times New Roman" w:eastAsia="Times New Roman"/>
          <w:i/>
          <w:sz w:val="24"/>
        </w:rPr>
        <w:t>n</w:t>
      </w:r>
      <w:r>
        <w:rPr>
          <w:rFonts w:ascii="Times New Roman" w:hAnsi="Times New Roman" w:eastAsia="Times New Roman"/>
          <w:sz w:val="24"/>
        </w:rPr>
        <w:t xml:space="preserve"> = 4; A-09 Bhattacharjee &amp; Ramkumar, 2025; A-10 Boonyapison et al., 2025; A-14 Eilam et al., 2009; A-16 Hidalgo-Fuentes et al., 2024), sample overlap with an already-included study (</w:t>
      </w:r>
      <w:r>
        <w:rPr>
          <w:rFonts w:ascii="Times New Roman" w:hAnsi="Times New Roman" w:eastAsia="Times New Roman"/>
          <w:i/>
          <w:sz w:val="24"/>
        </w:rPr>
        <w:t>n</w:t>
      </w:r>
      <w:r>
        <w:rPr>
          <w:rFonts w:ascii="Times New Roman" w:hAnsi="Times New Roman" w:eastAsia="Times New Roman"/>
          <w:sz w:val="24"/>
        </w:rPr>
        <w:t xml:space="preserve"> = 1; A-05 Audet et al., 2023 overlapped with A-04 Audet et al., 2021), and effect size not extractable (</w:t>
      </w:r>
      <w:r>
        <w:rPr>
          <w:rFonts w:ascii="Times New Roman" w:hAnsi="Times New Roman" w:eastAsia="Times New Roman"/>
          <w:i/>
          <w:sz w:val="24"/>
        </w:rPr>
        <w:t>n</w:t>
      </w:r>
      <w:r>
        <w:rPr>
          <w:rFonts w:ascii="Times New Roman" w:hAnsi="Times New Roman" w:eastAsia="Times New Roman"/>
          <w:sz w:val="24"/>
        </w:rPr>
        <w:t xml:space="preserve"> = 1; A-24 Tlili et al., 2023, lag sequential analysis). The 31 remaining studies were included in the systematic review; 10 contributed direct Pearson correlations to the primary achievement pool, 4 contributed β-converted effect sizes via Peterson and Brown's (2005) approximation, and 17 were retained for secondary analyses or narrative synthesis.</w:t>
      </w:r>
    </w:p>
    <w:p>
      <w:r>
        <w:br w:type="page"/>
      </w:r>
    </w:p>
    <w:p>
      <w:pPr>
        <w:spacing w:line="480" w:lineRule="auto" w:before="0" w:after="0"/>
      </w:pPr>
      <w:r>
        <w:rPr>
          <w:rFonts w:ascii="Times New Roman" w:hAnsi="Times New Roman"/>
          <w:b/>
          <w:sz w:val="24"/>
        </w:rPr>
        <w:t>Figure 2</w:t>
      </w:r>
    </w:p>
    <w:p>
      <w:pPr>
        <w:spacing w:line="480" w:lineRule="auto" w:before="0" w:after="0"/>
      </w:pPr>
      <w:r>
        <w:rPr>
          <w:rFonts w:ascii="Times New Roman" w:hAnsi="Times New Roman"/>
          <w:i/>
          <w:sz w:val="24"/>
        </w:rPr>
        <w:t>Forest Plot: Conscientiousness and Academic Achievement in Online Learning Environments</w:t>
      </w:r>
    </w:p>
    <w:p>
      <w:pPr>
        <w:jc w:val="center"/>
      </w:pPr>
      <w:r>
        <w:drawing>
          <wp:inline xmlns:a="http://schemas.openxmlformats.org/drawingml/2006/main" xmlns:pic="http://schemas.openxmlformats.org/drawingml/2006/picture">
            <wp:extent cx="5486400" cy="3620779"/>
            <wp:docPr id="2" name="Picture 2"/>
            <wp:cNvGraphicFramePr>
              <a:graphicFrameLocks noChangeAspect="1"/>
            </wp:cNvGraphicFramePr>
            <a:graphic>
              <a:graphicData uri="http://schemas.openxmlformats.org/drawingml/2006/picture">
                <pic:pic>
                  <pic:nvPicPr>
                    <pic:cNvPr id="0" name="forest_C.png"/>
                    <pic:cNvPicPr/>
                  </pic:nvPicPr>
                  <pic:blipFill>
                    <a:blip r:embed="rId10"/>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Conscientiousness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3</w:t>
      </w:r>
    </w:p>
    <w:p>
      <w:pPr>
        <w:spacing w:line="480" w:lineRule="auto" w:before="0" w:after="0"/>
      </w:pPr>
      <w:r>
        <w:rPr>
          <w:rFonts w:ascii="Times New Roman" w:hAnsi="Times New Roman"/>
          <w:i/>
          <w:sz w:val="24"/>
        </w:rPr>
        <w:t>Forest Plot: Agreeableness and Academic Achievement in Online Learning Environments</w:t>
      </w:r>
    </w:p>
    <w:p>
      <w:pPr>
        <w:jc w:val="center"/>
      </w:pPr>
      <w:r>
        <w:drawing>
          <wp:inline xmlns:a="http://schemas.openxmlformats.org/drawingml/2006/main" xmlns:pic="http://schemas.openxmlformats.org/drawingml/2006/picture">
            <wp:extent cx="5486400" cy="3403941"/>
            <wp:docPr id="3" name="Picture 3"/>
            <wp:cNvGraphicFramePr>
              <a:graphicFrameLocks noChangeAspect="1"/>
            </wp:cNvGraphicFramePr>
            <a:graphic>
              <a:graphicData uri="http://schemas.openxmlformats.org/drawingml/2006/picture">
                <pic:pic>
                  <pic:nvPicPr>
                    <pic:cNvPr id="0" name="forest_A.png"/>
                    <pic:cNvPicPr/>
                  </pic:nvPicPr>
                  <pic:blipFill>
                    <a:blip r:embed="rId11"/>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Agreeableness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4</w:t>
      </w:r>
    </w:p>
    <w:p>
      <w:pPr>
        <w:spacing w:line="480" w:lineRule="auto" w:before="0" w:after="0"/>
      </w:pPr>
      <w:r>
        <w:rPr>
          <w:rFonts w:ascii="Times New Roman" w:hAnsi="Times New Roman"/>
          <w:i/>
          <w:sz w:val="24"/>
        </w:rPr>
        <w:t>Forest Plot: Openness and Academic Achievement in Online Learning Environments</w:t>
      </w:r>
    </w:p>
    <w:p>
      <w:pPr>
        <w:jc w:val="center"/>
      </w:pPr>
      <w:r>
        <w:drawing>
          <wp:inline xmlns:a="http://schemas.openxmlformats.org/drawingml/2006/main" xmlns:pic="http://schemas.openxmlformats.org/drawingml/2006/picture">
            <wp:extent cx="5486400" cy="3403941"/>
            <wp:docPr id="4" name="Picture 4"/>
            <wp:cNvGraphicFramePr>
              <a:graphicFrameLocks noChangeAspect="1"/>
            </wp:cNvGraphicFramePr>
            <a:graphic>
              <a:graphicData uri="http://schemas.openxmlformats.org/drawingml/2006/picture">
                <pic:pic>
                  <pic:nvPicPr>
                    <pic:cNvPr id="0" name="forest_O.png"/>
                    <pic:cNvPicPr/>
                  </pic:nvPicPr>
                  <pic:blipFill>
                    <a:blip r:embed="rId12"/>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Openness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5</w:t>
      </w:r>
    </w:p>
    <w:p>
      <w:pPr>
        <w:spacing w:line="480" w:lineRule="auto" w:before="0" w:after="0"/>
      </w:pPr>
      <w:r>
        <w:rPr>
          <w:rFonts w:ascii="Times New Roman" w:hAnsi="Times New Roman"/>
          <w:i/>
          <w:sz w:val="24"/>
        </w:rPr>
        <w:t>Forest Plot: Neuroticism and Academic Achievement in Online Learning Environments</w:t>
      </w:r>
    </w:p>
    <w:p>
      <w:pPr>
        <w:jc w:val="center"/>
      </w:pPr>
      <w:r>
        <w:drawing>
          <wp:inline xmlns:a="http://schemas.openxmlformats.org/drawingml/2006/main" xmlns:pic="http://schemas.openxmlformats.org/drawingml/2006/picture">
            <wp:extent cx="5486400" cy="3620779"/>
            <wp:docPr id="5" name="Picture 5"/>
            <wp:cNvGraphicFramePr>
              <a:graphicFrameLocks noChangeAspect="1"/>
            </wp:cNvGraphicFramePr>
            <a:graphic>
              <a:graphicData uri="http://schemas.openxmlformats.org/drawingml/2006/picture">
                <pic:pic>
                  <pic:nvPicPr>
                    <pic:cNvPr id="0" name="forest_N.png"/>
                    <pic:cNvPicPr/>
                  </pic:nvPicPr>
                  <pic:blipFill>
                    <a:blip r:embed="rId13"/>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Neuroticism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6</w:t>
      </w:r>
    </w:p>
    <w:p>
      <w:pPr>
        <w:spacing w:line="480" w:lineRule="auto" w:before="0" w:after="0"/>
      </w:pPr>
      <w:r>
        <w:rPr>
          <w:rFonts w:ascii="Times New Roman" w:hAnsi="Times New Roman"/>
          <w:i/>
          <w:sz w:val="24"/>
        </w:rPr>
        <w:t>Forest Plot: Extraversion and Academic Achievement in Online Learning Environments</w:t>
      </w:r>
    </w:p>
    <w:p>
      <w:pPr>
        <w:jc w:val="center"/>
      </w:pPr>
      <w:r>
        <w:drawing>
          <wp:inline xmlns:a="http://schemas.openxmlformats.org/drawingml/2006/main" xmlns:pic="http://schemas.openxmlformats.org/drawingml/2006/picture">
            <wp:extent cx="5486400" cy="3403941"/>
            <wp:docPr id="6" name="Picture 6"/>
            <wp:cNvGraphicFramePr>
              <a:graphicFrameLocks noChangeAspect="1"/>
            </wp:cNvGraphicFramePr>
            <a:graphic>
              <a:graphicData uri="http://schemas.openxmlformats.org/drawingml/2006/picture">
                <pic:pic>
                  <pic:nvPicPr>
                    <pic:cNvPr id="0" name="forest_E.png"/>
                    <pic:cNvPicPr/>
                  </pic:nvPicPr>
                  <pic:blipFill>
                    <a:blip r:embed="rId14"/>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Extraversion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7</w:t>
      </w:r>
    </w:p>
    <w:p>
      <w:pPr>
        <w:spacing w:line="480" w:lineRule="auto" w:before="0" w:after="0"/>
      </w:pPr>
      <w:r>
        <w:rPr>
          <w:rFonts w:ascii="Times New Roman" w:hAnsi="Times New Roman"/>
          <w:i/>
          <w:sz w:val="24"/>
        </w:rPr>
        <w:t>Funnel Plot: Conscientiousness and Academic Achievement in Online Learning Environments</w:t>
      </w:r>
    </w:p>
    <w:p>
      <w:pPr>
        <w:jc w:val="center"/>
      </w:pPr>
      <w:r>
        <w:drawing>
          <wp:inline xmlns:a="http://schemas.openxmlformats.org/drawingml/2006/main" xmlns:pic="http://schemas.openxmlformats.org/drawingml/2006/picture">
            <wp:extent cx="4572000" cy="3909391"/>
            <wp:docPr id="7" name="Picture 7"/>
            <wp:cNvGraphicFramePr>
              <a:graphicFrameLocks noChangeAspect="1"/>
            </wp:cNvGraphicFramePr>
            <a:graphic>
              <a:graphicData uri="http://schemas.openxmlformats.org/drawingml/2006/picture">
                <pic:pic>
                  <pic:nvPicPr>
                    <pic:cNvPr id="0" name="funnel_C.png"/>
                    <pic:cNvPicPr/>
                  </pic:nvPicPr>
                  <pic:blipFill>
                    <a:blip r:embed="rId15"/>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Conscientiousness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2.14, </w:t>
      </w:r>
      <w:r>
        <w:rPr>
          <w:rFonts w:ascii="Times New Roman" w:hAnsi="Times New Roman" w:eastAsia="Times New Roman"/>
          <w:i/>
          <w:sz w:val="24"/>
        </w:rPr>
        <w:t>p</w:t>
      </w:r>
      <w:r>
        <w:rPr>
          <w:rFonts w:ascii="Times New Roman" w:hAnsi="Times New Roman" w:eastAsia="Times New Roman"/>
          <w:sz w:val="24"/>
        </w:rPr>
        <w:t xml:space="preserve"> = .094. See Table 4 for full publication-bias assessment.</w:t>
      </w:r>
    </w:p>
    <w:p>
      <w:r>
        <w:br w:type="page"/>
      </w:r>
    </w:p>
    <w:p>
      <w:pPr>
        <w:spacing w:line="480" w:lineRule="auto" w:before="0" w:after="0"/>
      </w:pPr>
      <w:r>
        <w:rPr>
          <w:rFonts w:ascii="Times New Roman" w:hAnsi="Times New Roman"/>
          <w:b/>
          <w:sz w:val="24"/>
        </w:rPr>
        <w:t>Figure 8</w:t>
      </w:r>
    </w:p>
    <w:p>
      <w:pPr>
        <w:spacing w:line="480" w:lineRule="auto" w:before="0" w:after="0"/>
      </w:pPr>
      <w:r>
        <w:rPr>
          <w:rFonts w:ascii="Times New Roman" w:hAnsi="Times New Roman"/>
          <w:i/>
          <w:sz w:val="24"/>
        </w:rPr>
        <w:t>Funnel Plot: Agreeableness and Academic Achievement in Online Learning Environments</w:t>
      </w:r>
    </w:p>
    <w:p>
      <w:pPr>
        <w:jc w:val="center"/>
      </w:pPr>
      <w:r>
        <w:drawing>
          <wp:inline xmlns:a="http://schemas.openxmlformats.org/drawingml/2006/main" xmlns:pic="http://schemas.openxmlformats.org/drawingml/2006/picture">
            <wp:extent cx="4572000" cy="3909391"/>
            <wp:docPr id="8" name="Picture 8"/>
            <wp:cNvGraphicFramePr>
              <a:graphicFrameLocks noChangeAspect="1"/>
            </wp:cNvGraphicFramePr>
            <a:graphic>
              <a:graphicData uri="http://schemas.openxmlformats.org/drawingml/2006/picture">
                <pic:pic>
                  <pic:nvPicPr>
                    <pic:cNvPr id="0" name="funnel_A.png"/>
                    <pic:cNvPicPr/>
                  </pic:nvPicPr>
                  <pic:blipFill>
                    <a:blip r:embed="rId16"/>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Agreeableness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−8.53, </w:t>
      </w:r>
      <w:r>
        <w:rPr>
          <w:rFonts w:ascii="Times New Roman" w:hAnsi="Times New Roman" w:eastAsia="Times New Roman"/>
          <w:i/>
          <w:sz w:val="24"/>
        </w:rPr>
        <w:t>p</w:t>
      </w:r>
      <w:r>
        <w:rPr>
          <w:rFonts w:ascii="Times New Roman" w:hAnsi="Times New Roman" w:eastAsia="Times New Roman"/>
          <w:sz w:val="24"/>
        </w:rPr>
        <w:t xml:space="preserve"> = .072. See Table 4 for full publication-bias assessment.</w:t>
      </w:r>
    </w:p>
    <w:p>
      <w:r>
        <w:br w:type="page"/>
      </w:r>
    </w:p>
    <w:p>
      <w:pPr>
        <w:spacing w:line="480" w:lineRule="auto" w:before="0" w:after="0"/>
      </w:pPr>
      <w:r>
        <w:rPr>
          <w:rFonts w:ascii="Times New Roman" w:hAnsi="Times New Roman"/>
          <w:b/>
          <w:sz w:val="24"/>
        </w:rPr>
        <w:t>Figure 9</w:t>
      </w:r>
    </w:p>
    <w:p>
      <w:pPr>
        <w:spacing w:line="480" w:lineRule="auto" w:before="0" w:after="0"/>
      </w:pPr>
      <w:r>
        <w:rPr>
          <w:rFonts w:ascii="Times New Roman" w:hAnsi="Times New Roman"/>
          <w:i/>
          <w:sz w:val="24"/>
        </w:rPr>
        <w:t>Funnel Plot: Openness and Academic Achievement in Online Learning Environments</w:t>
      </w:r>
    </w:p>
    <w:p>
      <w:pPr>
        <w:jc w:val="center"/>
      </w:pPr>
      <w:r>
        <w:drawing>
          <wp:inline xmlns:a="http://schemas.openxmlformats.org/drawingml/2006/main" xmlns:pic="http://schemas.openxmlformats.org/drawingml/2006/picture">
            <wp:extent cx="4572000" cy="3909391"/>
            <wp:docPr id="9" name="Picture 9"/>
            <wp:cNvGraphicFramePr>
              <a:graphicFrameLocks noChangeAspect="1"/>
            </wp:cNvGraphicFramePr>
            <a:graphic>
              <a:graphicData uri="http://schemas.openxmlformats.org/drawingml/2006/picture">
                <pic:pic>
                  <pic:nvPicPr>
                    <pic:cNvPr id="0" name="funnel_O.png"/>
                    <pic:cNvPicPr/>
                  </pic:nvPicPr>
                  <pic:blipFill>
                    <a:blip r:embed="rId17"/>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Openness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−6.41, </w:t>
      </w:r>
      <w:r>
        <w:rPr>
          <w:rFonts w:ascii="Times New Roman" w:hAnsi="Times New Roman" w:eastAsia="Times New Roman"/>
          <w:i/>
          <w:sz w:val="24"/>
        </w:rPr>
        <w:t>p</w:t>
      </w:r>
      <w:r>
        <w:rPr>
          <w:rFonts w:ascii="Times New Roman" w:hAnsi="Times New Roman" w:eastAsia="Times New Roman"/>
          <w:sz w:val="24"/>
        </w:rPr>
        <w:t xml:space="preserve"> = .045. See Table 4 for full publication-bias assessment.</w:t>
      </w:r>
    </w:p>
    <w:p>
      <w:r>
        <w:br w:type="page"/>
      </w:r>
    </w:p>
    <w:p>
      <w:pPr>
        <w:spacing w:line="480" w:lineRule="auto" w:before="0" w:after="0"/>
      </w:pPr>
      <w:r>
        <w:rPr>
          <w:rFonts w:ascii="Times New Roman" w:hAnsi="Times New Roman"/>
          <w:b/>
          <w:sz w:val="24"/>
        </w:rPr>
        <w:t>Figure 10</w:t>
      </w:r>
    </w:p>
    <w:p>
      <w:pPr>
        <w:spacing w:line="480" w:lineRule="auto" w:before="0" w:after="0"/>
      </w:pPr>
      <w:r>
        <w:rPr>
          <w:rFonts w:ascii="Times New Roman" w:hAnsi="Times New Roman"/>
          <w:i/>
          <w:sz w:val="24"/>
        </w:rPr>
        <w:t>Funnel Plot: Neuroticism and Academic Achievement in Online Learning Environments</w:t>
      </w:r>
    </w:p>
    <w:p>
      <w:pPr>
        <w:jc w:val="center"/>
      </w:pPr>
      <w:r>
        <w:drawing>
          <wp:inline xmlns:a="http://schemas.openxmlformats.org/drawingml/2006/main" xmlns:pic="http://schemas.openxmlformats.org/drawingml/2006/picture">
            <wp:extent cx="4572000" cy="3909391"/>
            <wp:docPr id="10" name="Picture 10"/>
            <wp:cNvGraphicFramePr>
              <a:graphicFrameLocks noChangeAspect="1"/>
            </wp:cNvGraphicFramePr>
            <a:graphic>
              <a:graphicData uri="http://schemas.openxmlformats.org/drawingml/2006/picture">
                <pic:pic>
                  <pic:nvPicPr>
                    <pic:cNvPr id="0" name="funnel_N.png"/>
                    <pic:cNvPicPr/>
                  </pic:nvPicPr>
                  <pic:blipFill>
                    <a:blip r:embed="rId18"/>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Neuroticism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−1.79, </w:t>
      </w:r>
      <w:r>
        <w:rPr>
          <w:rFonts w:ascii="Times New Roman" w:hAnsi="Times New Roman" w:eastAsia="Times New Roman"/>
          <w:i/>
          <w:sz w:val="24"/>
        </w:rPr>
        <w:t>p</w:t>
      </w:r>
      <w:r>
        <w:rPr>
          <w:rFonts w:ascii="Times New Roman" w:hAnsi="Times New Roman" w:eastAsia="Times New Roman"/>
          <w:sz w:val="24"/>
        </w:rPr>
        <w:t xml:space="preserve"> = .304. See Table 4 for full publication-bias assessment.</w:t>
      </w:r>
    </w:p>
    <w:p>
      <w:r>
        <w:br w:type="page"/>
      </w:r>
    </w:p>
    <w:p>
      <w:pPr>
        <w:spacing w:line="480" w:lineRule="auto" w:before="0" w:after="0"/>
      </w:pPr>
      <w:r>
        <w:rPr>
          <w:rFonts w:ascii="Times New Roman" w:hAnsi="Times New Roman"/>
          <w:b/>
          <w:sz w:val="24"/>
        </w:rPr>
        <w:t>Figure 11</w:t>
      </w:r>
    </w:p>
    <w:p>
      <w:pPr>
        <w:spacing w:line="480" w:lineRule="auto" w:before="0" w:after="0"/>
      </w:pPr>
      <w:r>
        <w:rPr>
          <w:rFonts w:ascii="Times New Roman" w:hAnsi="Times New Roman"/>
          <w:i/>
          <w:sz w:val="24"/>
        </w:rPr>
        <w:t>Funnel Plot: Extraversion and Academic Achievement in Online Learning Environments</w:t>
      </w:r>
    </w:p>
    <w:p>
      <w:pPr>
        <w:jc w:val="center"/>
      </w:pPr>
      <w:r>
        <w:drawing>
          <wp:inline xmlns:a="http://schemas.openxmlformats.org/drawingml/2006/main" xmlns:pic="http://schemas.openxmlformats.org/drawingml/2006/picture">
            <wp:extent cx="4572000" cy="3909391"/>
            <wp:docPr id="11" name="Picture 11"/>
            <wp:cNvGraphicFramePr>
              <a:graphicFrameLocks noChangeAspect="1"/>
            </wp:cNvGraphicFramePr>
            <a:graphic>
              <a:graphicData uri="http://schemas.openxmlformats.org/drawingml/2006/picture">
                <pic:pic>
                  <pic:nvPicPr>
                    <pic:cNvPr id="0" name="funnel_E.png"/>
                    <pic:cNvPicPr/>
                  </pic:nvPicPr>
                  <pic:blipFill>
                    <a:blip r:embed="rId19"/>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Extraversion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2.29, </w:t>
      </w:r>
      <w:r>
        <w:rPr>
          <w:rFonts w:ascii="Times New Roman" w:hAnsi="Times New Roman" w:eastAsia="Times New Roman"/>
          <w:i/>
          <w:sz w:val="24"/>
        </w:rPr>
        <w:t>p</w:t>
      </w:r>
      <w:r>
        <w:rPr>
          <w:rFonts w:ascii="Times New Roman" w:hAnsi="Times New Roman" w:eastAsia="Times New Roman"/>
          <w:sz w:val="24"/>
        </w:rPr>
        <w:t xml:space="preserve"> = .255. See Table 4 for full publication-bias assessment.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