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[1]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[2, 3].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[3],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[4]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[5],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[6],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[7],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[8].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[9].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[10],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[10]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[11]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[12],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[13]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[14],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[15],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[2]; [7]). Bahçekapılı and Karaman [16],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[2, 5], with Openness effects declining across the educational trajectory while Conscientiousness effects remain stable; whether this pattern holds in online contexts is unknown. Third, region and cultural context may moderate effects: Mammadov [2] and Chen et al. [7] both reported amplified Conscientiousness and Agreeableness effects in East Asian and other collectivistic samples, and Chen et al. [7]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[17]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[18].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[19],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[3, 17, 20, 4, 2, 6, 5, 7]. Reference lists of the most directly relevant narrative review [10]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[21],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[22]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[23],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[24]: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[25]).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[26],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[27]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[28]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[29],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[1]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[31]; Peters' regression test adapted for correlation effect sizes; and Duval and Tweedie's [30] trim-and-fill procedure, reported as a sensitivity check rather than as a point-estimate correction. In addition, p-curve analysis [32]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[33].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[7]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[16] to .37 in [11] paper-grade outcome), TIPI-J (</w:t>
      </w:r>
      <w:r>
        <w:rPr>
          <w:rFonts w:ascii="Times New Roman" w:hAnsi="Times New Roman" w:eastAsia="Times New Roman"/>
          <w:i/>
          <w:sz w:val="24"/>
        </w:rPr>
        <w:t>r</w:t>
      </w:r>
      <w:r>
        <w:rPr>
          <w:rFonts w:ascii="Times New Roman" w:hAnsi="Times New Roman" w:eastAsia="Times New Roman"/>
          <w:sz w:val="24"/>
        </w:rPr>
        <w:t xml:space="preserve"> = .144 in [14]), and β-converted studies ([15] and [34]). Consistent with McAbee and Oswald [17],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([15] </w:t>
      </w:r>
      <w:r>
        <w:rPr>
          <w:rFonts w:ascii="Times New Roman" w:hAnsi="Times New Roman" w:eastAsia="Times New Roman"/>
          <w:i/>
          <w:sz w:val="24"/>
        </w:rPr>
        <w:t>N</w:t>
      </w:r>
      <w:r>
        <w:rPr>
          <w:rFonts w:ascii="Times New Roman" w:hAnsi="Times New Roman" w:eastAsia="Times New Roman"/>
          <w:sz w:val="24"/>
        </w:rPr>
        <w:t xml:space="preserve"> = 1,152; [16] </w:t>
      </w:r>
      <w:r>
        <w:rPr>
          <w:rFonts w:ascii="Times New Roman" w:hAnsi="Times New Roman" w:eastAsia="Times New Roman"/>
          <w:i/>
          <w:sz w:val="24"/>
        </w:rPr>
        <w:t>N</w:t>
      </w:r>
      <w:r>
        <w:rPr>
          <w:rFonts w:ascii="Times New Roman" w:hAnsi="Times New Roman" w:eastAsia="Times New Roman"/>
          <w:sz w:val="24"/>
        </w:rPr>
        <w:t xml:space="preserve"> = 525; [34] </w:t>
      </w:r>
      <w:r>
        <w:rPr>
          <w:rFonts w:ascii="Times New Roman" w:hAnsi="Times New Roman" w:eastAsia="Times New Roman"/>
          <w:i/>
          <w:sz w:val="24"/>
        </w:rPr>
        <w:t>N</w:t>
      </w:r>
      <w:r>
        <w:rPr>
          <w:rFonts w:ascii="Times New Roman" w:hAnsi="Times New Roman" w:eastAsia="Times New Roman"/>
          <w:sz w:val="24"/>
        </w:rPr>
        <w:t xml:space="preserve"> = 413; [35] </w:t>
      </w:r>
      <w:r>
        <w:rPr>
          <w:rFonts w:ascii="Times New Roman" w:hAnsi="Times New Roman" w:eastAsia="Times New Roman"/>
          <w:i/>
          <w:sz w:val="24"/>
        </w:rPr>
        <w:t>N</w:t>
      </w:r>
      <w:r>
        <w:rPr>
          <w:rFonts w:ascii="Times New Roman" w:hAnsi="Times New Roman" w:eastAsia="Times New Roman"/>
          <w:sz w:val="24"/>
        </w:rPr>
        <w:t xml:space="preserve"> = 301; [36] </w:t>
      </w:r>
      <w:r>
        <w:rPr>
          <w:rFonts w:ascii="Times New Roman" w:hAnsi="Times New Roman" w:eastAsia="Times New Roman"/>
          <w:i/>
          <w:sz w:val="24"/>
        </w:rPr>
        <w:t>N</w:t>
      </w:r>
      <w:r>
        <w:rPr>
          <w:rFonts w:ascii="Times New Roman" w:hAnsi="Times New Roman" w:eastAsia="Times New Roman"/>
          <w:sz w:val="24"/>
        </w:rPr>
        <w:t xml:space="preserve"> = 282; [13] </w:t>
      </w:r>
      <w:r>
        <w:rPr>
          <w:rFonts w:ascii="Times New Roman" w:hAnsi="Times New Roman" w:eastAsia="Times New Roman"/>
          <w:i/>
          <w:sz w:val="24"/>
        </w:rPr>
        <w:t>N</w:t>
      </w:r>
      <w:r>
        <w:rPr>
          <w:rFonts w:ascii="Times New Roman" w:hAnsi="Times New Roman" w:eastAsia="Times New Roman"/>
          <w:sz w:val="24"/>
        </w:rPr>
        <w:t xml:space="preserve"> = 260; Alkış &amp; Taşkaya [12]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([11] </w:t>
      </w:r>
      <w:r>
        <w:rPr>
          <w:rFonts w:ascii="Times New Roman" w:hAnsi="Times New Roman" w:eastAsia="Times New Roman"/>
          <w:i/>
          <w:sz w:val="24"/>
        </w:rPr>
        <w:t>N</w:t>
      </w:r>
      <w:r>
        <w:rPr>
          <w:rFonts w:ascii="Times New Roman" w:hAnsi="Times New Roman" w:eastAsia="Times New Roman"/>
          <w:sz w:val="24"/>
        </w:rPr>
        <w:t xml:space="preserve"> = 92; [37]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[38]; general learning-engagement scale not online-specific) and one (A-02 Alkış &amp; Taşkaya [12])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[1]; A-26 [39]), with an additional K-12 record (A-10 [40])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[41] as the primary engine for random-effects meta-analysis, mixed-effects meta-regression, and heterogeneity diagnostics. The clubSandwich package was used for robust variance estimation [42], and the dmetar companion package [43]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[16]; A-30 [34]; A-31 [14]; A-37 [36])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[15] and A-30 [34]), and one was flagged as a conflict-of-interest study because it is the present author's own prior primary research (A-25 [1];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[37] to 1,625 [39],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[44]; A-37 [36]), and mixed secondary/post-secondary (1 study: A-11 [9]).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[47]), the Ten-Item Personality Inventory (TIPI, TIPI-J; 2 studies: A-31 Rivers, A-37 Zheng &amp; Zheng), and other validated Big Five–aligned scales (Sahinidis and Tsaknis's [45] 30-item custom scale, Chinese-language Big Five scales of A-20 Mustafa et al. [46] and A-26 Wang et al. [39],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[13]) or objective LMS-log outcome measurement (A-28 [15]; A-31 [14]).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[3], McAbee and Oswald [17], Vedel [20], Mammadov [2], Meyer et al. [5], and Chen et al. [7].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[3, 20, 7], contrary to Hypothesis 3 (H3), which predicted a weaker Agreeableness effect in online than in face-to-face contexts. Within the primary pool the largest Agreeableness contribution came from a single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[13]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[16]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([15] weakly positive </w:t>
      </w:r>
      <w:r>
        <w:rPr>
          <w:rFonts w:ascii="Times New Roman" w:hAnsi="Times New Roman" w:eastAsia="Times New Roman"/>
          <w:i/>
          <w:sz w:val="24"/>
        </w:rPr>
        <w:t>β</w:t>
      </w:r>
      <w:r>
        <w:rPr>
          <w:rFonts w:ascii="Times New Roman" w:hAnsi="Times New Roman" w:eastAsia="Times New Roman"/>
          <w:sz w:val="24"/>
        </w:rPr>
        <w:t xml:space="preserve"> = .037; [34]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[2, 5]—indicate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 and Chen et al. [7]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[7]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[38]; A-17 [48]; A-25 [1]; A-26 [39]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[1]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[15]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[30]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[15] within the primary pool, with convergent narrative evidence from East Asian [39] and Israeli [49]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[2, 5].</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[3, 20, 7]. H3, which predicted a weaker rather than stronger effect, is therefore not supported. Within the 9-study primary Agreeableness pool, the pooled estimate is driven principally by a single influential Chinese MOOC sample (A-28 [15];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 Asian-sample amplification pattern and with Chen et al.'s [7]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[12])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[15] and [34])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[3, 7]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[5]),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[6]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[7, 3], with the few modest positive effects concentrated in elementary/middle school contexts where classroom participation is more salient [2].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[50].</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 and Chen et al. [7]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[7, 2, 17, 5, 3, 4, 20, 6] and one narrative review [10].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[29].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[1] was included in the qualitative-synthesis retained set as a potentially eligible record. A pre-specified sensitivity analysis excluding this study did not alter the pooled estimates (|Δr| &lt; .001 for every trait) because Tokiwa [1]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[36]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[4]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[15] with convergent narrative evidence from other East Asian and Israeli studies; and Neuroticism and Openness effects were essentially null in the primary synthesis. The Personality-Achievement Saturation Hypothesis [5]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left"/>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1. 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2. 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3. 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4. 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5. 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6. 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7. 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8. 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9. 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10. 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11. 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12. 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13. 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14. 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15. 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16. 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17. 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18. 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19. 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20. 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21. 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22.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23. 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24. 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25. 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26. 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27. 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28. 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29. 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30. 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31. 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32. 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33. 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34. 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35. 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36. 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pPr>
        <w:spacing w:line="480" w:lineRule="auto" w:before="0" w:after="0"/>
        <w:ind w:left="720" w:hanging="720"/>
      </w:pPr>
      <w:r>
        <w:rPr>
          <w:rFonts w:ascii="Times New Roman" w:hAnsi="Times New Roman" w:eastAsia="Times New Roman"/>
          <w:sz w:val="24"/>
        </w:rPr>
        <w:t xml:space="preserve">37. 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38. 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39. 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40. 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41. 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42. 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43. 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44. 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45. 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46. 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47. 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48. 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49. 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50. 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[11]</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[12]</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[58]</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[56]</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[55]</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[45]</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[44]</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[59]</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[53]</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[40]</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[9]</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[49]</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[38]</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[37]</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[54]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[48]</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[60]</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[47]</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[46]</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[61]</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[35]</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[13]</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[57]</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[1]</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[39]</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[15]</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[16]</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[34]</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[14]</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[36]</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Note. 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(k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r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[51] and A-27 Wu &amp; Yu [52]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[1];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[33].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[19].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(n = 5; MBTI, Proactive Personality, TAM, TUE, and other non-FFM operationalization), face-to-face modality (n = 4; A-09 [53]; A-10 [40]; A-14 [51]; A-16 [54]), sample overlap with an already-included study (n = 1; A-05 [55] overlapped with A-04 [56]), and effect size not extractable (n = 1; A-24 [57], lag sequential analysis). The remaining studies, supplemented by four newly identified primary studies (A-29 [16]; A-30 [34]; A-31 [14]; A-37 [36]), yielded 31 primary studies catalogued in this review (Table 1). Of these, 25 were retained for qualitative synthesis, and 10 contributed direct Pearson correlations or β-converted effect sizes to the primary quantitative achievement pool (with two studies — A-28 [15] and A-30 [34]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