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Pr>
        <w:jc w:val="center"/>
      </w:pPr>
      <w:r>
        <w:rPr>
          <w:rFonts w:ascii="Calibri" w:hAnsi="Calibri"/>
          <w:sz w:val="20"/>
        </w:rPr>
        <w:t>Eisuke Tokiwa</w:t>
      </w:r>
    </w:p>
    <w:p>
      <w:pPr>
        <w:jc w:val="center"/>
      </w:pPr>
      <w:r>
        <w:rPr>
          <w:rFonts w:ascii="Calibri" w:hAnsi="Calibri"/>
          <w:sz w:val="20"/>
        </w:rPr>
        <w:t>SUNBLAZE Co., Ltd., Tokyo, Japan</w:t>
      </w:r>
    </w:p>
    <w:p>
      <w:pPr>
        <w:jc w:val="center"/>
      </w:pPr>
      <w:r>
        <w:rPr>
          <w:rFonts w:ascii="Calibri" w:hAnsi="Calibri"/>
          <w:sz w:val="20"/>
        </w:rPr>
        <w:t>eisuke.tokiwa@sunblaze.jp</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w:t>
      </w:r>
      <w:r>
        <w:rPr>
          <w:rFonts w:ascii="Consolas" w:hAnsi="Consolas"/>
          <w:i/>
          <w:sz w:val="20"/>
        </w:rPr>
        <w:t>preprint_audit.md</w:t>
      </w:r>
      <w:r>
        <w:rPr>
          <w:rFonts w:ascii="Calibri" w:hAnsi="Calibri"/>
          <w:sz w:val="20"/>
        </w:rPr>
        <w:t>).</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xml:space="preserve">.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w:t>
      </w:r>
      <w:r>
        <w:rPr>
          <w:rFonts w:ascii="Consolas" w:hAnsi="Consolas"/>
          <w:i/>
          <w:sz w:val="20"/>
        </w:rPr>
        <w:t>metaanalysis/analysis/data_extraction_populated.csv</w:t>
      </w:r>
      <w:r>
        <w:rPr>
          <w:rFonts w:ascii="Calibri" w:hAnsi="Calibri"/>
          <w:sz w:val="20"/>
        </w:rPr>
        <w:t xml:space="preserve">; the canonical replication of the parent pool is in </w:t>
      </w:r>
      <w:r>
        <w:rPr>
          <w:rFonts w:ascii="Consolas" w:hAnsi="Consolas"/>
          <w:i/>
          <w:sz w:val="20"/>
        </w:rPr>
        <w:t>metaanalysis/analysis/CANONICAL_RESULTS.md</w:t>
      </w:r>
      <w:r>
        <w:rPr>
          <w:rFonts w:ascii="Calibri" w:hAnsi="Calibri"/>
          <w:sz w:val="20"/>
        </w:rPr>
        <w:t>.</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w:t>
      </w:r>
      <w:r>
        <w:rPr>
          <w:rFonts w:ascii="Consolas" w:hAnsi="Consolas"/>
          <w:i/>
          <w:sz w:val="20"/>
        </w:rPr>
        <w:t>metaanalysis/search_log.md</w:t>
      </w:r>
      <w:r>
        <w:rPr>
          <w:rFonts w:ascii="Calibri" w:hAnsi="Calibri"/>
          <w:sz w:val="20"/>
        </w:rPr>
        <w:t xml:space="preserve">;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A key limitation of modality-stratified meta-analysis is that primary studies often do not report their delivery format explicitly, and even when they do, the boundary between "asynchronous" and "mixed-online" can be ambiguous. The re-coding decisions documented below should be interpreted with this caveat in mind; alternative plausible codings could shift per-cell k and the resulting Q_between contrasts.</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coded modality where the source PDF stated it explicitly. Four primary-pool studies had a blank modality field; their modality was re-checked against the original PDFs: A-15 Elvers (2003) was coded A (self-paced LMS, no live sessions), while A-23 Rodrigues (2024), A-26 Wang (2023), and A-30 Kaspar (2023) were coded M (evidence of both synchronous and asynchronous components). After override, no unspecified-modality studies remain in the primary pool.</w:t>
      </w:r>
    </w:p>
    <w:p>
      <w:pPr>
        <w:pStyle w:val="Heading2"/>
      </w:pPr>
      <w:r>
        <w:rPr>
          <w:rFonts w:ascii="Calibri" w:hAnsi="Calibri"/>
          <w:sz w:val="20"/>
        </w:rPr>
        <w:t>2.3. Statistical model</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are reported narratively only. Between-modality heterogeneity was tested via Q_between with the sub-pool point estimates (df = 1 per trait). To formalise the interaction, a weighted-OLS regression was fit on the full long-format design matrix (n = 42 observations across 5 traits and 2 modality levels), with weights = 1 / (v + tau-squared), tau-squared set to the median of per-trait REML estimates (= 0.0105). The design includes trait dummies, a modality dummy, and four trait x modality interaction terms; a joint Wald chi-squared test on the interaction coefficients is reported as the primary inferential statistic. Three sensitivity scenarios re-run the modality pools: (i) drop beta-converted studies, (ii) drop the COI study (A-25 Tokiwa; no-op since A-25 contributes no extractable r), and (iii) drop the unspecified-modality bucket (no-op after override).</w:t>
      </w:r>
    </w:p>
    <w:p>
      <w:pPr>
        <w:pStyle w:val="Heading2"/>
      </w:pPr>
      <w:r>
        <w:rPr>
          <w:rFonts w:ascii="Calibri" w:hAnsi="Calibri"/>
          <w:sz w:val="20"/>
        </w:rPr>
        <w:t>2.4. Reproducibility</w:t>
      </w:r>
    </w:p>
    <w:p>
      <w:r>
        <w:rPr>
          <w:rFonts w:ascii="Calibri" w:hAnsi="Calibri"/>
          <w:sz w:val="20"/>
        </w:rPr>
        <w:t>The analysis pipeline and all intermediate results are available in the project's open repository. All computations are deterministic; no pseudorandom-number-generator-dependent operations are used.</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(see also Figure 2).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r>
        <w:drawing>
          <wp:inline xmlns:a="http://schemas.openxmlformats.org/drawingml/2006/main" xmlns:pic="http://schemas.openxmlformats.org/drawingml/2006/picture">
            <wp:extent cx="6309360" cy="4000500"/>
            <wp:docPr id="2" name="Picture 2"/>
            <wp:cNvGraphicFramePr>
              <a:graphicFrameLocks noChangeAspect="1"/>
            </wp:cNvGraphicFramePr>
            <a:graphic>
              <a:graphicData uri="http://schemas.openxmlformats.org/drawingml/2006/picture">
                <pic:pic>
                  <pic:nvPicPr>
                    <pic:cNvPr id="0" name="modality_interaction_ecel.png"/>
                    <pic:cNvPicPr/>
                  </pic:nvPicPr>
                  <pic:blipFill>
                    <a:blip r:embed="rId11"/>
                    <a:stretch>
                      <a:fillRect/>
                    </a:stretch>
                  </pic:blipFill>
                  <pic:spPr>
                    <a:xfrm>
                      <a:off x="0" y="0"/>
                      <a:ext cx="6309360" cy="4000500"/>
                    </a:xfrm>
                    <a:prstGeom prst="rect"/>
                  </pic:spPr>
                </pic:pic>
              </a:graphicData>
            </a:graphic>
          </wp:inline>
        </w:drawing>
      </w:r>
    </w:p>
    <w:p>
      <w:pPr>
        <w:jc w:val="center"/>
      </w:pPr>
      <w:r>
        <w:rPr>
          <w:rFonts w:ascii="Calibri" w:hAnsi="Calibri"/>
          <w:sz w:val="20"/>
        </w:rPr>
        <w:t>Figure 2.</w:t>
      </w:r>
      <w:r>
        <w:rPr>
          <w:rFonts w:ascii="Calibri" w:hAnsi="Calibri"/>
          <w:sz w:val="20"/>
        </w:rPr>
        <w:t xml:space="preserve"> Modality-stratified pooled correlations by Big Five trait (asynchronous = blue; mixed-online = red). Error bars show HKSJ-adjusted 95 % CIs. The Extraversion sign-reversal across modality is the headline finding; Conscientiousness is stable across modality buckets.</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w:t>
      </w:r>
      <w:r>
        <w:rPr>
          <w:rFonts w:ascii="Consolas" w:hAnsi="Consolas"/>
          <w:i/>
          <w:sz w:val="20"/>
        </w:rPr>
        <w:t>results/sensitivity_analysis_summary.md</w:t>
      </w:r>
      <w:r>
        <w:rPr>
          <w:rFonts w:ascii="Calibri" w:hAnsi="Calibri"/>
          <w:sz w:val="20"/>
        </w:rPr>
        <w:t>.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w:t>
      </w:r>
      <w:r>
        <w:rPr>
          <w:rFonts w:ascii="Consolas" w:hAnsi="Consolas"/>
          <w:i/>
          <w:sz w:val="20"/>
        </w:rPr>
        <w:t>metaanalysis/conference_submissions/templates/preprint_disclosure_template.md</w:t>
      </w:r>
      <w:r>
        <w:rPr>
          <w:rFonts w:ascii="Calibri" w:hAnsi="Calibri"/>
          <w:sz w:val="20"/>
        </w:rPr>
        <w:t>)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 xml:space="preserve">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w:t>
      </w:r>
      <w:r>
        <w:rPr>
          <w:rFonts w:ascii="Consolas" w:hAnsi="Consolas"/>
          <w:i/>
          <w:sz w:val="20"/>
        </w:rPr>
        <w:t>preprint_audit.md</w:t>
      </w:r>
      <w:r>
        <w:rPr>
          <w:rFonts w:ascii="Calibri" w:hAnsi="Calibri"/>
          <w:sz w:val="20"/>
        </w:rPr>
        <w:t xml:space="preserve">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w:t>
      </w:r>
      <w:r>
        <w:rPr>
          <w:rFonts w:ascii="Consolas" w:hAnsi="Consolas"/>
          <w:i/>
          <w:sz w:val="20"/>
        </w:rPr>
        <w:t>metafor</w:t>
      </w:r>
      <w:r>
        <w:rPr>
          <w:rFonts w:ascii="Calibri" w:hAnsi="Calibri"/>
          <w:sz w:val="20"/>
        </w:rPr>
        <w:t xml:space="preserve"> or </w:t>
      </w:r>
      <w:r>
        <w:rPr>
          <w:rFonts w:ascii="Consolas" w:hAnsi="Consolas"/>
          <w:i/>
          <w:sz w:val="20"/>
        </w:rPr>
        <w:t>lme4</w:t>
      </w:r>
      <w:r>
        <w:rPr>
          <w:rFonts w:ascii="Calibri" w:hAnsi="Calibri"/>
          <w:sz w:val="20"/>
        </w:rPr>
        <w:t xml:space="preserve">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Acknowledgments</w:t>
      </w:r>
    </w:p>
    <w:p>
      <w:r>
        <w:rPr>
          <w:rFonts w:ascii="Calibri" w:hAnsi="Calibri"/>
          <w:sz w:val="20"/>
        </w:rPr>
        <w:t>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 xml:space="preserve">All references below are taken from </w:t>
      </w:r>
      <w:r>
        <w:rPr>
          <w:rFonts w:ascii="Consolas" w:hAnsi="Consolas"/>
          <w:i/>
          <w:sz w:val="20"/>
        </w:rPr>
        <w:t>metaanalysis/reference_index.md</w:t>
      </w:r>
      <w:r>
        <w:rPr>
          <w:rFonts w:ascii="Calibri" w:hAnsi="Calibri"/>
          <w:sz w:val="20"/>
        </w:rPr>
        <w:t xml:space="preserve"> (PDF-verified ✅).</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Page, M. J., McKenzie, J. E., Bossuyt, P. M., Boutron, I., Hoffmann, T. C., Mulrow, C. D.,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Tokiwa, E. (2025). Who excels in online learning in Japan? </w:t>
      </w:r>
      <w:r>
        <w:rPr>
          <w:rFonts w:ascii="Calibri" w:hAnsi="Calibri"/>
          <w:i/>
          <w:sz w:val="20"/>
        </w:rPr>
        <w:t>Frontiers in Psychology, 16</w:t>
      </w:r>
      <w:r>
        <w:rPr>
          <w:rFonts w:ascii="Calibri" w:hAnsi="Calibri"/>
          <w:sz w:val="20"/>
        </w:rPr>
        <w:t>, Article 1420996. https://doi.org/10.3389/fpsyg.2025.1420996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