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(https://doi.org/[TO BE FILLED AFTER PREPRINT DOI IS ASSIGNED]).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(DOI: 10.17605/OSF.IO/E5W47) prior to data extraction. Following PRISMA 2020 reporting standards, 31 primary studies reporting associations between Big Five (or HEXACO) personality traits and academic achievement in online, blended, or MOOC environments were synthesized. Effect sizes were pooled using random-effects meta-analysis with Restricted Maximum Likelihood estimation and Hartung-Knapp-Sidik-Jonkman confidence-interval adjustment on the Fisher </w:t>
      </w:r>
      <w:r>
        <w:rPr>
          <w:rFonts w:ascii="Times New Roman" w:hAnsi="Times New Roman" w:eastAsia="Times New Roman"/>
          <w:i/>
          <w:sz w:val="24"/>
        </w:rPr>
        <w:t>z</w:t>
      </w:r>
      <w:r>
        <w:rPr>
          <w:rFonts w:ascii="Times New Roman" w:hAnsi="Times New Roman" w:eastAsia="Times New Roman"/>
          <w:sz w:val="24"/>
        </w:rPr>
        <w:t xml:space="preserve"> scale.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Pearson correlations to the primary achievement pool. Conscientiousness emerged as the strongest positive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The findings provide preliminary support for the Personality-Achievement Saturation Hypothesis (PASH) extended to technology-mediated learning and document novel cultural- and outcome-type-dependent shifts in the Extraversion-achievement association. Confidence in pooled estimates (GRADE) ranged from Moderate (Conscientiousness, Extraversion) to Low (Openness, Agreeableness, Neuroticism). Limitations include the modest </w:t>
      </w:r>
      <w:r>
        <w:rPr>
          <w:rFonts w:ascii="Times New Roman" w:hAnsi="Times New Roman" w:eastAsia="Times New Roman"/>
          <w:i/>
          <w:sz w:val="24"/>
        </w:rPr>
        <w:t>k</w:t>
      </w:r>
      <w:r>
        <w:rPr>
          <w:rFonts w:ascii="Times New Roman" w:hAnsi="Times New Roman" w:eastAsia="Times New Roman"/>
          <w:sz w:val="24"/>
        </w:rPr>
        <w:t xml:space="preserve"> (9–10 studies per trait) and the use of web-based rather than institutionally-licensed database searches. Online learning environments modify, but do not fundamentally transform, the well-established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Jansen, Hübner, and Lüdtke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Cheung, and Zeng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Rose, and Hewig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w:t>
      </w:r>
      <w:r>
        <w:rPr>
          <w:rFonts w:ascii="Times New Roman" w:hAnsi="Times New Roman" w:eastAsia="Times New Roman"/>
          <w:i/>
          <w:sz w:val="24"/>
        </w:rPr>
        <w:t>N</w:t>
      </w:r>
      <w:r>
        <w:rPr>
          <w:rFonts w:ascii="Times New Roman" w:hAnsi="Times New Roman" w:eastAsia="Times New Roman"/>
          <w:sz w:val="24"/>
        </w:rPr>
        <w:t xml:space="preserve"> &gt; 500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Alkış &amp; Temizel 2018 </w:t>
      </w:r>
      <w:r>
        <w:rPr>
          <w:rFonts w:ascii="Times New Roman" w:hAnsi="Times New Roman" w:eastAsia="Times New Roman"/>
          <w:i/>
          <w:sz w:val="24"/>
        </w:rPr>
        <w:t>N</w:t>
      </w:r>
      <w:r>
        <w:rPr>
          <w:rFonts w:ascii="Times New Roman" w:hAnsi="Times New Roman" w:eastAsia="Times New Roman"/>
          <w:sz w:val="24"/>
        </w:rPr>
        <w:t xml:space="preserve"> = 316 online subset;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studies with </w:t>
      </w:r>
      <w:r>
        <w:rPr>
          <w:rFonts w:ascii="Times New Roman" w:hAnsi="Times New Roman" w:eastAsia="Times New Roman"/>
          <w:i/>
          <w:sz w:val="24"/>
        </w:rPr>
        <w:t>N</w:t>
      </w:r>
      <w:r>
        <w:rPr>
          <w:rFonts w:ascii="Times New Roman" w:hAnsi="Times New Roman" w:eastAsia="Times New Roman"/>
          <w:sz w:val="24"/>
        </w:rPr>
        <w:t xml:space="preserve"> &lt; 200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accompanying OSF project (https://osf.io/79m5j/) and GitHub repository (https://github.com/etoki/paper, directory metaanalysis/).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w:t>
      </w:r>
      <w:r>
        <w:rPr>
          <w:rFonts w:ascii="Times New Roman" w:hAnsi="Times New Roman" w:eastAsia="Times New Roman"/>
          <w:i/>
          <w:sz w:val="24"/>
        </w:rPr>
        <w:t>SD</w:t>
      </w:r>
      <w:r>
        <w:rPr>
          <w:rFonts w:ascii="Times New Roman" w:hAnsi="Times New Roman" w:eastAsia="Times New Roman"/>
          <w:sz w:val="24"/>
        </w:rP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(2022/2023)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2022/2023,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Wang et al., 2023; Kaspar et al., 2023; Mustafa et al., 2022)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Jackson et al., 2010).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include_secondary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Inc = included in primary achievement pool; Inc (COI) = included with conflict-of-interest flag; Inc* = included with caveat; Exc-pri = excluded from primary but retained for secondary pool or narrative; Exc-dup = excluded due to sample overlap with another included study; Exc = excluded at eligibility. RoB = aggregate score on the Joanna Briggs Institute 8-item critical appraisal checklist (0–8; higher = lower risk). A-14 Eilam (2009) and A-27 Wu &amp; Yu (2024) are omitted because the former was excluded at the modality screening stage and the latter was not available as a retrievable PDF; both are disclosed in the PRISMA flow.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9"/>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Seven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31 remaining studies were included in the systematic review; 10 contributed direct Pearson correlations to the primary achievement pool, 4 contributed β-converted effect sizes via Peterson and Brown's (2005) approximation, and 17 were retained for secondary analyses or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0"/>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1"/>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3"/>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4"/>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5"/>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