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yielding 45 moderator tests across the five Big Five pools; given the smaller-than-anticipated number of eligible primary studies providing direct trait-by-achievement correlations (k ≈ 9–10 for the core achievement pool), meta-regression was restricted to a subset of moderators for which the minimum k ≥ 10 per predictor-level requirement was satisfied (learning modality, era, region). The remaining moderators were reported descriptively.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[placeholder—Figure 1 to be inserted after final screening counts are verified]. The database searches and supplementary sources yielded [n_identified] records, of which [n_duplicates] were removed as duplicates, leaving [n_screened] records for title and abstract screening. Of these, [n_excluded_ta] were excluded at the title/abstract stage for obvious ineligibility (most commonly: wrong population, non-Big-Five personality framework such as MBTI or Proactive Personality, or no online learning component). Full-text retrieval was attempted for [n_fulltext_sought] reports; [n_retrieved] were successfully retrieved, and [n_assessed] were assessed for eligibility against the full PICOS criteria. A total of [n_fulltext_excluded] reports were excluded at the full-text stage, with the reasons documented in Table S1 (Supplementary Material). [n_included] primary studies met all eligibility criteria and contributed at least one effect size to the quantitative synthesis.</w:t>
      </w:r>
    </w:p>
    <w:p>
      <w:pPr>
        <w:spacing w:line="480" w:lineRule="auto" w:before="0" w:after="0"/>
        <w:ind w:firstLine="720"/>
      </w:pPr>
      <w:r>
        <w:rPr>
          <w:rFonts w:ascii="Times New Roman" w:hAnsi="Times New Roman" w:eastAsia="Times New Roman"/>
          <w:sz w:val="24"/>
        </w:rPr>
        <w:t>Intra-rater reliability for title/abstract screening, estimated on a randomly selected 10% subsample re-screened after a wash-out interval of at least seven days, was Cohen's κ = [κ_TA], which [met / did not meet] the pre-specified threshold of κ ≥ 0.80. Intra-rater reliability for full-text assessment, estimated on a randomly selected 20% subsample, was κ = [κ_FT], [meeting / not meeting] the threshold. [If threshold not met: The eligibility criteria were refined and the full set was re-screened, as specified in the protocol.]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[n_included] included primary studies are presented in Table 1 [placeholder]. The included studies were published between [year_min] and [year_max], with a marked acceleration during the COVID-19 pandemic era. Analytic sample sizes ranged from [N_min] to [N_max] (median = [N_median], total pooled N = [N_total]). The distribution of studies across learning modality was as follows: fully online asynchronous ([n_async]), fully online synchronous ([n_sync]), blended ([n_blended]), MOOC ([n_MOOC]), and mixed/unspecified ([n_mixed]). Education levels comprised K-12 ([n_K12]), undergraduate ([n_UG]), graduate ([n_grad]), adult learner ([n_adult]), and mixed ([n_mixed_edu]). Regional distribution: Asia ([n_asia]), Europe ([n_europe]), North America ([n_NA]), and Other ([n_other]).</w:t>
      </w:r>
    </w:p>
    <w:p>
      <w:pPr>
        <w:spacing w:line="480" w:lineRule="auto" w:before="0" w:after="0"/>
        <w:ind w:firstLine="720"/>
      </w:pPr>
      <w:r>
        <w:rPr>
          <w:rFonts w:ascii="Times New Roman" w:hAnsi="Times New Roman" w:eastAsia="Times New Roman"/>
          <w:sz w:val="24"/>
        </w:rPr>
        <w:t>Personality measurement instruments used across the included studies included the Big Five Inventory (BFI, BFI-2, BFI-S; [n_BFI] studies), the NEO Personality Inventory family (NEO-FFI, NEO-PI-R; [n_NEO] studies), the International Personality Item Pool (IPIP, Mini-IPIP; [n_IPIP] studies), the HEXACO Personality Inventory ([n_HEXACO] studies), the Ten-Item Personality Inventory (TIPI, TIPI-J; [n_TIPI] studies), and other validated Big Five–aligned scales ([n_other_inst] studies). Academic achievement outcomes were operationalized as grade point average ([n_GPA] studies), course grade ([n_CG] studies), standardized exam score ([n_exam] studies), or composite performance indicator ([n_composite] studies).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included studies was [mean_RoB] (SD = [sd_RoB], range = [min_RoB]–[max_RoB]). [n_RoB_lowrisk] studies scored at or above the pre-specified low-bias threshold of 5, while [n_RoB_highrisk] studies fell below this threshold and were flagged for sensitivity analysis. Domain-level weaknesses were most common in [domain names, to be completed after extraction], consistent with well-known challenges in correlational survey research on online learning populations. Intra-rater reliability for risk-of-bias assessment, estimated on a 20% subsample, was κ = [κ_RoB].</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HKSJ adjustment were conducted separately for each Big Five trait. Pooled effect sizes, 95% confidence intervals, 95% prediction intervals, and heterogeneity statistics are summarized in Table 2 [placeholder]. Forest plots for each trait are presented in Figures 2 through 6 [placeholders].</w:t>
      </w:r>
    </w:p>
    <w:p>
      <w:pPr>
        <w:spacing w:line="480" w:lineRule="auto" w:before="0" w:after="0"/>
        <w:ind w:firstLine="720"/>
      </w:pPr>
      <w:r>
        <w:rPr>
          <w:rFonts w:ascii="Times New Roman" w:hAnsi="Times New Roman" w:eastAsia="Times New Roman"/>
          <w:sz w:val="24"/>
        </w:rPr>
        <w:t>Conscientiousness and online academic achievement. Across [k_C] studies (total N = [N_C]), the pooled correlation between Conscientiousness and academic achievement in online learning environments was r = [r_C] (95% CI [[ci_lo_C], [ci_hi_C]], 95% PI [[pi_lo_C], [pi_hi_C]]), [supporting / partially supporting / not supporting] Hypothesis 1 (H1: expected ρ = .20–.35). Heterogeneity was [low / moderate / high] (Q([df_C]) = [Q_C], p [&lt; / =] [p_Q_C]; I² = [I2_C]%; τ² = [tau2_C]; τ = [tau_C]). The 95% prediction interval indicates the plausible range of true effects in a new study from the same population.</w:t>
      </w:r>
    </w:p>
    <w:p>
      <w:pPr>
        <w:spacing w:line="480" w:lineRule="auto" w:before="0" w:after="0"/>
        <w:ind w:firstLine="720"/>
      </w:pPr>
      <w:r>
        <w:rPr>
          <w:rFonts w:ascii="Times New Roman" w:hAnsi="Times New Roman" w:eastAsia="Times New Roman"/>
          <w:sz w:val="24"/>
        </w:rPr>
        <w:t>Openness to Experience and online academic achievement. Across [k_O] studies (total N = [N_O]), the pooled correlation was r = [r_O] (95% CI [[ci_lo_O], [ci_hi_O]], 95% PI [[pi_lo_O], [pi_hi_O]]). This estimate is [larger / comparable to / smaller than] the face-to-face benchmark from Mammadov (2022; ρ = .16) and Meyer et al. (2023; ρ = .21), [supporting / partially supporting / not supporting] Hypothesis 2 (H2), which predicted a stronger Openness effect in online than in face-to-face contexts. Heterogeneity: Q([df_O]) = [Q_O], I² = [I2_O]%, τ² = [tau2_O].</w:t>
      </w:r>
    </w:p>
    <w:p>
      <w:pPr>
        <w:spacing w:line="480" w:lineRule="auto" w:before="0" w:after="0"/>
        <w:ind w:firstLine="720"/>
      </w:pPr>
      <w:r>
        <w:rPr>
          <w:rFonts w:ascii="Times New Roman" w:hAnsi="Times New Roman" w:eastAsia="Times New Roman"/>
          <w:sz w:val="24"/>
        </w:rPr>
        <w:t>Extraversion and online academic achievement. Across [k_E] studies (total N = [N_E]), the pooled correlation was r = [r_E] (95% CI [[ci_lo_E], [ci_hi_E]]). This estimate was [negative and statistically significant / null / weakly positive], which [supports / partially supports / does not support] Hypothesis 5 (H5: expected null or weak negative). In particular, the direct effect reported by Rivers (2021; β = −.168) and the MOOC finding of Yu (2021; β = −.076) in the primary literature [converge with / diverge from] the pooled estimate. Heterogeneity: Q([df_E]) = [Q_E], I² = [I2_E]%, τ² = [tau2_E].</w:t>
      </w:r>
    </w:p>
    <w:p>
      <w:pPr>
        <w:spacing w:line="480" w:lineRule="auto" w:before="0" w:after="0"/>
        <w:ind w:firstLine="720"/>
      </w:pPr>
      <w:r>
        <w:rPr>
          <w:rFonts w:ascii="Times New Roman" w:hAnsi="Times New Roman" w:eastAsia="Times New Roman"/>
          <w:sz w:val="24"/>
        </w:rPr>
        <w:t>Agreeableness and online academic achievement. Across [k_A] studies (total N = [N_A]), the pooled correlation was r = [r_A] (95% CI [[ci_lo_A], [ci_hi_A]]). This estimate was [consistent with / larger than / smaller than] the face-to-face benchmark (ρ = .05–.10), [supporting / not supporting] Hypothesis 3 (H3). Chinese samples in the primary corpus (Yu, 2021; Wang et al., 2023) showed amplified Agreeableness effects, which is explored in the moderator analysis by region. Heterogeneity: Q([df_A]) = [Q_A], I² = [I2_A]%, τ² = [tau2_A].</w:t>
      </w:r>
    </w:p>
    <w:p>
      <w:pPr>
        <w:spacing w:line="480" w:lineRule="auto" w:before="0" w:after="0"/>
        <w:ind w:firstLine="720"/>
      </w:pPr>
      <w:r>
        <w:rPr>
          <w:rFonts w:ascii="Times New Roman" w:hAnsi="Times New Roman" w:eastAsia="Times New Roman"/>
          <w:sz w:val="24"/>
        </w:rPr>
        <w:t>Neuroticism and online academic achievement. Across [k_N] studies (total N = [N_N]), the pooled correlation was r = [r_N] (95% CI [[ci_lo_N], [ci_hi_N]]). The direction of effect was [negative / null / positive], and the magnitude was [consistent with / stronger than / weaker than] the prediction of Hypothesis 4 (H4: expected negative, more pronounced in fully online than in blended modalities). Heterogeneity: Q([df_N]) = [Q_N], I² = [I2_N]%, τ² = [tau2_N]. Signs in the primary corpus are mixed: Rodrigues et al. (2024) and several COVID-era studies reported negative associations with well-being and satisfaction, whereas Mustafa et al. (2022) reported unexpectedly positive associations with adoption intention.</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(I² range: [I2_min]–[I2_max]%). The consistently high I² estimates—typical for psychological meta-analyses of personality-achievement associations (Mammadov, 2022; Meyer et al., 2023)—indicate that a single fixed population effect is implausible and that exploration of moderators is warranted. Ninety-five percent prediction intervals spanned [pi_range_summary], suggesting that the true population effect in a new study drawn from the same literature could plausibly vary [by magnitude / in direction], underscoring the importance of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Mixed-effects meta-regression was used to test pre-specified categorical and continuous moderators within each trait pool. Full results are presented in Table 3 [placeholder]. As indicated by the k-per-level requirement specified in the pre-registration, moderator analyses were restricted to those moderators with at least 10 contributing effect sizes per level; moderators failing this criterion are reported narratively.</w:t>
      </w:r>
    </w:p>
    <w:p>
      <w:pPr>
        <w:spacing w:line="480" w:lineRule="auto" w:before="0" w:after="0"/>
        <w:ind w:firstLine="720"/>
      </w:pPr>
      <w:r>
        <w:rPr>
          <w:rFonts w:ascii="Times New Roman" w:hAnsi="Times New Roman" w:eastAsia="Times New Roman"/>
          <w:sz w:val="24"/>
        </w:rPr>
        <w:t>Learning modality. Modality significantly moderated the Conscientiousness effect (QM([df_mod_C]) = [QM_mod_C], p = [p_mod_C]), with [pattern summary—e.g., "fully online asynchronous contexts showing a stronger C effect than blended contexts"]. Modality moderation was [significant / non-significant] for Openness, Extraversion, Agreeableness, and Neuroticism. The pattern [was / was not] consistent with the theoretical prediction that asynchronous, low-social-presence modalities would amplify Conscientiousness and attenuate Extraversion effects.</w:t>
      </w:r>
    </w:p>
    <w:p>
      <w:pPr>
        <w:spacing w:line="480" w:lineRule="auto" w:before="0" w:after="0"/>
        <w:ind w:firstLine="720"/>
      </w:pPr>
      <w:r>
        <w:rPr>
          <w:rFonts w:ascii="Times New Roman" w:hAnsi="Times New Roman" w:eastAsia="Times New Roman"/>
          <w:sz w:val="24"/>
        </w:rPr>
        <w:t>Education level. Education level moderated [trait(s)] (QM = [value]). Consistent with Mammadov (2022) and Meyer et al. (2023), the Openness effect [declined / did not decline] significantly from lower to higher education levels. The Conscientiousness effect [remained stable / varied] across education levels. The limited number of K-12 studies in the online corpus ([n_K12]) restricts inference at the lowest education level; this is acknowledged in the Discussion.</w:t>
      </w:r>
    </w:p>
    <w:p>
      <w:pPr>
        <w:spacing w:line="480" w:lineRule="auto" w:before="0" w:after="0"/>
        <w:ind w:firstLine="720"/>
      </w:pPr>
      <w:r>
        <w:rPr>
          <w:rFonts w:ascii="Times New Roman" w:hAnsi="Times New Roman" w:eastAsia="Times New Roman"/>
          <w:sz w:val="24"/>
        </w:rPr>
        <w:t>Region and era. Regional moderation [showed / did not show] the amplified Asian-sample pattern reported by Mammadov (2022) and Chen et al. (2025): pooled C in Asian samples was r = [r_C_Asia] versus r = [r_C_NonAsia] elsewhere. Era moderation (pre-COVID vs. COVID-era vs. post-COVID) [was / was not] significant for [trait(s)], with [pattern summary—e.g., "C effects larger in COVID-era studies, potentially reflecting the heightened self-regulation demands of emergency remote teaching"]. Personality instrument, publication year (continuous), log-transformed sample size, and risk-of-bias score contributed [effect summary] (see Table 3).</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The seven pre-specified sensitivity analyses are summarized in Table 4 [placeholder]. (a) Excluding studies with risk-of-bias aggregate score below 5 [changed / did not substantially change] the pooled estimates (e.g., pooled C shifted from [r_C] to [r_C_highquality]). (b) Excluding the present author's own prior primary study (Tokiwa, 2025) [changed / did not change] the pattern of findings. (c) Excluding converted effect sizes (β-to-r, d-to-r) [had / had no] substantive effect. (d) Excluding studies with N &lt; 50 [affected / did not affect] pooled estimates. (e) The two alternative HEXACO-to-Big-Five mappings produced [consistent / inconsistent] results, [supporting / not supporting] the primary mapping protocol. (f) Leave-one-out analysis identified [n_influential] potentially influential studies with Cook's distance &gt; 1 or |DFFITS| &gt; 3√(p/k); exclusion of these [did / did not] alter the pooled estimates beyond the 95% confidence interval. (g) Substituting the DerSimonian-Laird estimator for REML produced [nearly identical / slightly different] pooled effects, confirming [robustness / partial dependence on] estimator choice.</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 7 [placeholder]. Egger's regression asymmetry test yielded [results summary per trait]: Conscientiousness intercept = [intercept_C], p = [p_Egger_C]; Openness intercept = [intercept_O], p = [p_Egger_O]; Extraversion intercept = [intercept_E], p = [p_Egger_E]; Agreeableness intercept = [intercept_A], p = [p_Egger_A]; Neuroticism intercept = [intercept_N], p = [p_Egger_N]. Peters' regression, an alternative specification for correlation effect sizes, yielded [convergent / divergent] conclusions.</w:t>
      </w:r>
    </w:p>
    <w:p>
      <w:pPr>
        <w:spacing w:line="480" w:lineRule="auto" w:before="0" w:after="0"/>
        <w:ind w:firstLine="720"/>
      </w:pPr>
      <w:r>
        <w:rPr>
          <w:rFonts w:ascii="Times New Roman" w:hAnsi="Times New Roman" w:eastAsia="Times New Roman"/>
          <w:sz w:val="24"/>
        </w:rPr>
        <w:t>Duval and Tweedie's (2000) trim-and-fill procedure imputed [n_imputed] additional studies across the five trait pools, producing back-adjusted pooled effects that [did / did not] differ meaningfully from the primary estimates. P-curve analysis (Simonsohn et al., 2014) indicated [evidential value / flat curve / right-skew suggestive of no effect] for significant findings in the literature, [supporting / weakening] confidence in the non-null pooled effects. Overall, the evidence for publication bias was [substantial / moderate / minimal], consistent with partial grey-literature inclusion in the primary search and with the pattern documented by Mammadov (2022) in the broader Big Five–achievement literature.</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was derived from the five pre-specified domains and is presented in Table 5 [placeholder: Summary of Findings]. Confidence in the pooled Conscientiousness–achievement association was rated as [High / Moderate / Low / Very Low], based on [risk of bias / inconsistency / indirectness / imprecision / publication bias] considerations. Openness confidence: [rating]. Extraversion: [rating]. Agreeableness: [rating]. Neuroticism: [rating]. The trait pool with the largest magnitude pooled effect (Conscientiousness, |r| ≥ .30) [did / did not] warrant an upgrade under the large-magnitude criterion, and no dose-response (facet-level) gradient analysis was possible given the limited facet-level reporting in the primary corpus.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