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5.0 -->
  <w:body>
    <w:p w:rsidR="007B7815" w:rsidRPr="00C67EB3" w:rsidP="00C67EB3" w14:paraId="787D2E30" w14:textId="77777777">
      <w:pPr>
        <w:bidi w:val="0"/>
        <w:spacing w:before="100" w:beforeAutospacing="1" w:after="100" w:afterAutospacing="1" w:line="360" w:lineRule="auto"/>
        <w:rPr>
          <w:rFonts w:ascii="David" w:eastAsia="Times New Roman" w:hAnsi="David" w:cs="David"/>
          <w:sz w:val="24"/>
          <w:szCs w:val="24"/>
        </w:rPr>
      </w:pPr>
      <w:r w:rsidRPr="00C67EB3">
        <w:rPr>
          <w:rFonts w:ascii="David" w:eastAsia="Times New Roman" w:hAnsi="David" w:cs="David"/>
          <w:sz w:val="24"/>
          <w:szCs w:val="24"/>
        </w:rPr>
        <w:t>Big Five Personality Traits and Academic Achievement in Online Learning Environments: A Systematic Review and Meta-Analysis</w:t>
      </w:r>
    </w:p>
    <w:p w:rsidR="007B7815" w:rsidRPr="007B7815" w:rsidP="00C67EB3" w14:paraId="507D8DA6" w14:textId="77777777">
      <w:pPr>
        <w:bidi w:val="0"/>
        <w:spacing w:before="100" w:beforeAutospacing="1" w:after="100" w:afterAutospacing="1" w:line="360" w:lineRule="auto"/>
        <w:rPr>
          <w:rFonts w:ascii="David" w:eastAsia="Times New Roman" w:hAnsi="David" w:cs="David"/>
          <w:sz w:val="24"/>
          <w:szCs w:val="24"/>
        </w:rPr>
      </w:pPr>
      <w:r w:rsidRPr="00C67EB3">
        <w:rPr>
          <w:rFonts w:ascii="David" w:eastAsia="Times New Roman" w:hAnsi="David" w:cs="David"/>
          <w:b/>
          <w:bCs/>
          <w:sz w:val="24"/>
          <w:szCs w:val="24"/>
        </w:rPr>
        <w:t>Peer Review for HELIYON-D-26-02879</w:t>
      </w:r>
      <w:r w:rsidRPr="007B7815">
        <w:rPr>
          <w:rFonts w:ascii="David" w:eastAsia="Times New Roman" w:hAnsi="David" w:cs="David"/>
          <w:sz w:val="24"/>
          <w:szCs w:val="24"/>
        </w:rPr>
        <w:br/>
      </w:r>
    </w:p>
    <w:p w:rsidR="007B7815" w:rsidRPr="007B7815" w:rsidP="00C67EB3" w14:paraId="3ECA6B19" w14:textId="77777777">
      <w:pPr>
        <w:bidi w:val="0"/>
        <w:spacing w:before="100" w:beforeAutospacing="1" w:after="100" w:afterAutospacing="1" w:line="360" w:lineRule="auto"/>
        <w:rPr>
          <w:rFonts w:ascii="David" w:eastAsia="Times New Roman" w:hAnsi="David" w:cs="David"/>
          <w:sz w:val="24"/>
          <w:szCs w:val="24"/>
        </w:rPr>
      </w:pPr>
      <w:r w:rsidRPr="007B7815">
        <w:rPr>
          <w:rFonts w:ascii="David" w:eastAsia="Times New Roman" w:hAnsi="David" w:cs="David"/>
          <w:sz w:val="24"/>
          <w:szCs w:val="24"/>
        </w:rPr>
        <w:t xml:space="preserve">This manuscript presents a timely and methodologically systematic review and meta-analysis examining the relationship between Big Five personality traits and academic achievement in online learning environments. The study addresses a meaningful gap in the literature by focusing specifically on online, blended, and MOOC-based educational settings rather than combining them with traditional face-to-face instruction. The manuscript is clearly structured, theoretically grounded, and demonstrates commendable adherence to PRISMA 2020 reporting standards. The extensive transparency regarding protocol registration, search strategy, data extraction, </w:t>
      </w:r>
      <w:r w:rsidRPr="00C67EB3">
        <w:rPr>
          <w:rFonts w:ascii="David" w:eastAsia="Times New Roman" w:hAnsi="David" w:cs="David"/>
          <w:sz w:val="24"/>
          <w:szCs w:val="24"/>
        </w:rPr>
        <w:t xml:space="preserve">and </w:t>
      </w:r>
      <w:r w:rsidRPr="007B7815">
        <w:rPr>
          <w:rFonts w:ascii="David" w:eastAsia="Times New Roman" w:hAnsi="David" w:cs="David"/>
          <w:sz w:val="24"/>
          <w:szCs w:val="24"/>
        </w:rPr>
        <w:t>moderator analyses strengthens the credibility of the work.</w:t>
      </w:r>
    </w:p>
    <w:p w:rsidR="007B7815" w:rsidRPr="007B7815" w:rsidP="00C67EB3" w14:paraId="3E5CFAC4" w14:textId="77777777">
      <w:pPr>
        <w:bidi w:val="0"/>
        <w:spacing w:before="100" w:beforeAutospacing="1" w:after="100" w:afterAutospacing="1" w:line="360" w:lineRule="auto"/>
        <w:rPr>
          <w:rFonts w:ascii="David" w:eastAsia="Times New Roman" w:hAnsi="David" w:cs="David"/>
          <w:sz w:val="24"/>
          <w:szCs w:val="24"/>
        </w:rPr>
      </w:pPr>
      <w:r w:rsidRPr="007B7815">
        <w:rPr>
          <w:rFonts w:ascii="David" w:eastAsia="Times New Roman" w:hAnsi="David" w:cs="David"/>
          <w:sz w:val="24"/>
          <w:szCs w:val="24"/>
        </w:rPr>
        <w:t xml:space="preserve">A major strength of the article is the depth of methodological reporting. The manuscript carefully documents eligibility criteria, effect-size conversion procedures, heterogeneity analyses, sensitivity analyses, publication-bias assessment, and GRADE certainty ratings. </w:t>
      </w:r>
      <w:r w:rsidRPr="007B7815">
        <w:rPr>
          <w:rFonts w:ascii="David" w:eastAsia="Times New Roman" w:hAnsi="David" w:cs="David"/>
          <w:sz w:val="24"/>
          <w:szCs w:val="24"/>
        </w:rPr>
        <w:t>The theoretical framing around the Personality-Achievement Saturation Hypothesis (PASH) and modality-specific learning mechanisms is especially well developed and provides a compelling rationale for the review.</w:t>
      </w:r>
      <w:r w:rsidRPr="007B7815">
        <w:rPr>
          <w:rFonts w:ascii="David" w:eastAsia="Times New Roman" w:hAnsi="David" w:cs="David"/>
          <w:sz w:val="24"/>
          <w:szCs w:val="24"/>
        </w:rPr>
        <w:t xml:space="preserve"> The moderation findings concerning Extraversion by region and outcome type are novel and potentially important contributions to the literature. In addition, the open-science practices, including pre-registration and public sharing of data and code, reflect </w:t>
      </w:r>
      <w:r w:rsidRPr="00C67EB3">
        <w:rPr>
          <w:rFonts w:ascii="David" w:eastAsia="Times New Roman" w:hAnsi="David" w:cs="David"/>
          <w:sz w:val="24"/>
          <w:szCs w:val="24"/>
        </w:rPr>
        <w:t>very good</w:t>
      </w:r>
      <w:r w:rsidRPr="007B7815">
        <w:rPr>
          <w:rFonts w:ascii="David" w:eastAsia="Times New Roman" w:hAnsi="David" w:cs="David"/>
          <w:sz w:val="24"/>
          <w:szCs w:val="24"/>
        </w:rPr>
        <w:t xml:space="preserve"> research transparency.</w:t>
      </w:r>
    </w:p>
    <w:p w:rsidR="007B7815" w:rsidRPr="007B7815" w:rsidP="00C67EB3" w14:paraId="4825FC97" w14:textId="77777777">
      <w:pPr>
        <w:bidi w:val="0"/>
        <w:spacing w:before="100" w:beforeAutospacing="1" w:after="100" w:afterAutospacing="1" w:line="360" w:lineRule="auto"/>
        <w:rPr>
          <w:rFonts w:ascii="David" w:eastAsia="Times New Roman" w:hAnsi="David" w:cs="David"/>
          <w:sz w:val="24"/>
          <w:szCs w:val="24"/>
        </w:rPr>
      </w:pPr>
      <w:r w:rsidRPr="007B7815">
        <w:rPr>
          <w:rFonts w:ascii="David" w:eastAsia="Times New Roman" w:hAnsi="David" w:cs="David"/>
          <w:sz w:val="24"/>
          <w:szCs w:val="24"/>
        </w:rPr>
        <w:t>I recommend the following before publishing:</w:t>
      </w:r>
    </w:p>
    <w:p w:rsidR="007B7815" w:rsidRPr="007B7815" w:rsidP="00C67EB3" w14:paraId="1DDB2085" w14:textId="77777777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rPr>
          <w:rFonts w:ascii="David" w:eastAsia="Times New Roman" w:hAnsi="David" w:cs="David"/>
          <w:sz w:val="24"/>
          <w:szCs w:val="24"/>
        </w:rPr>
      </w:pPr>
      <w:r w:rsidRPr="00C67EB3">
        <w:rPr>
          <w:rFonts w:ascii="David" w:eastAsia="Times New Roman" w:hAnsi="David" w:cs="David"/>
          <w:b/>
          <w:bCs/>
          <w:sz w:val="24"/>
          <w:szCs w:val="24"/>
        </w:rPr>
        <w:t>Please clarify the implications of the relatively small quantitative synthesis pool.</w:t>
      </w:r>
      <w:r w:rsidRPr="007B7815">
        <w:rPr>
          <w:rFonts w:ascii="David" w:eastAsia="Times New Roman" w:hAnsi="David" w:cs="David"/>
          <w:sz w:val="24"/>
          <w:szCs w:val="24"/>
        </w:rPr>
        <w:br/>
        <w:t>Although 25 studies were included qualitatively, only 10 studies contributed to the primary meta-analytic achievement pool. The manuscript would benefit from a more explicit discussion regarding how this limited quantitative sample may affect statistical power, moderator stability, and generalizability of findings, particularly for subgroup analyses involving region and outcome type.</w:t>
      </w:r>
    </w:p>
    <w:p w:rsidR="007B7815" w:rsidRPr="007B7815" w:rsidP="00C67EB3" w14:paraId="66D745B2" w14:textId="77777777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rPr>
          <w:rFonts w:ascii="David" w:eastAsia="Times New Roman" w:hAnsi="David" w:cs="David"/>
          <w:sz w:val="24"/>
          <w:szCs w:val="24"/>
        </w:rPr>
      </w:pPr>
      <w:r w:rsidRPr="00C67EB3">
        <w:rPr>
          <w:rFonts w:ascii="David" w:eastAsia="Times New Roman" w:hAnsi="David" w:cs="David"/>
          <w:b/>
          <w:bCs/>
          <w:sz w:val="24"/>
          <w:szCs w:val="24"/>
        </w:rPr>
        <w:t>I suggest expanding the discussion regarding single-reviewer screening and extraction procedures.</w:t>
      </w:r>
      <w:r w:rsidRPr="007B7815">
        <w:rPr>
          <w:rFonts w:ascii="David" w:eastAsia="Times New Roman" w:hAnsi="David" w:cs="David"/>
          <w:sz w:val="24"/>
          <w:szCs w:val="24"/>
        </w:rPr>
        <w:br/>
        <w:t xml:space="preserve">The author transparently acknowledges the single-reviewer workflow and </w:t>
      </w:r>
      <w:r w:rsidRPr="007B7815">
        <w:rPr>
          <w:rFonts w:ascii="David" w:eastAsia="Times New Roman" w:hAnsi="David" w:cs="David"/>
          <w:sz w:val="24"/>
          <w:szCs w:val="24"/>
        </w:rPr>
        <w:t>reports intra-rater reliability procedures. However, because systematic reviews commonly employ independent dual-reviewer screening and extraction, it would strengthen methodological confidence if the manuscript more fully discussed potential risks of selection bias and the rationale for considering the implemented safeguards sufficient.</w:t>
      </w:r>
    </w:p>
    <w:p w:rsidR="007B7815" w:rsidRPr="007B7815" w:rsidP="00C67EB3" w14:paraId="1B270521" w14:textId="77777777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rPr>
          <w:rFonts w:ascii="David" w:eastAsia="Times New Roman" w:hAnsi="David" w:cs="David"/>
          <w:sz w:val="24"/>
          <w:szCs w:val="24"/>
        </w:rPr>
      </w:pPr>
      <w:r w:rsidRPr="00C67EB3">
        <w:rPr>
          <w:rFonts w:ascii="David" w:eastAsia="Times New Roman" w:hAnsi="David" w:cs="David"/>
          <w:b/>
          <w:bCs/>
          <w:sz w:val="24"/>
          <w:szCs w:val="24"/>
        </w:rPr>
        <w:t xml:space="preserve">Please consider </w:t>
      </w:r>
      <w:r w:rsidRPr="00CA67E2">
        <w:rPr>
          <w:rFonts w:ascii="David" w:hAnsi="David" w:cs="David"/>
          <w:b/>
          <w:bCs/>
        </w:rPr>
        <w:t>clarifying</w:t>
      </w:r>
      <w:r w:rsidRPr="00C67EB3">
        <w:rPr>
          <w:rFonts w:ascii="David" w:eastAsia="Times New Roman" w:hAnsi="David" w:cs="David"/>
          <w:b/>
          <w:bCs/>
          <w:sz w:val="24"/>
          <w:szCs w:val="24"/>
        </w:rPr>
        <w:t xml:space="preserve"> the rationale for combining blended and fully online modalities.</w:t>
      </w:r>
      <w:r w:rsidRPr="007B7815">
        <w:rPr>
          <w:rFonts w:ascii="David" w:eastAsia="Times New Roman" w:hAnsi="David" w:cs="David"/>
          <w:sz w:val="24"/>
          <w:szCs w:val="24"/>
        </w:rPr>
        <w:br/>
        <w:t xml:space="preserve">The manuscript appropriately identifies modality as theoretically important; however, blended learning environments may differ substantially from asynchronous fully online or MOOC settings in terms of social interaction, instructor presence, and self-regulation demands. Additional clarification regarding how these modality differences </w:t>
      </w:r>
      <w:r w:rsidRPr="007B7815">
        <w:rPr>
          <w:rFonts w:ascii="David" w:eastAsia="Times New Roman" w:hAnsi="David" w:cs="David"/>
          <w:sz w:val="24"/>
          <w:szCs w:val="24"/>
        </w:rPr>
        <w:t>were operationalized and interpreted</w:t>
      </w:r>
      <w:r w:rsidRPr="007B7815">
        <w:rPr>
          <w:rFonts w:ascii="David" w:eastAsia="Times New Roman" w:hAnsi="David" w:cs="David"/>
          <w:sz w:val="24"/>
          <w:szCs w:val="24"/>
        </w:rPr>
        <w:t xml:space="preserve"> would improve conceptual precision.</w:t>
      </w:r>
    </w:p>
    <w:p w:rsidR="007B7815" w:rsidRPr="007B7815" w:rsidP="00C67EB3" w14:paraId="0082836E" w14:textId="77777777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rPr>
          <w:rFonts w:ascii="David" w:eastAsia="Times New Roman" w:hAnsi="David" w:cs="David"/>
          <w:sz w:val="24"/>
          <w:szCs w:val="24"/>
        </w:rPr>
      </w:pPr>
      <w:r w:rsidRPr="00C67EB3">
        <w:rPr>
          <w:rFonts w:ascii="David" w:eastAsia="Times New Roman" w:hAnsi="David" w:cs="David"/>
          <w:b/>
          <w:bCs/>
          <w:sz w:val="24"/>
          <w:szCs w:val="24"/>
        </w:rPr>
        <w:t xml:space="preserve">I recommend that the author discuss the limitations associated with converted effect sizes in </w:t>
      </w:r>
      <w:r w:rsidRPr="00C67EB3">
        <w:rPr>
          <w:rFonts w:ascii="David" w:eastAsia="Times New Roman" w:hAnsi="David" w:cs="David"/>
          <w:b/>
          <w:bCs/>
          <w:sz w:val="24"/>
          <w:szCs w:val="24"/>
        </w:rPr>
        <w:t>greater detail</w:t>
      </w:r>
      <w:r w:rsidRPr="00C67EB3">
        <w:rPr>
          <w:rFonts w:ascii="David" w:eastAsia="Times New Roman" w:hAnsi="David" w:cs="David"/>
          <w:b/>
          <w:bCs/>
          <w:sz w:val="24"/>
          <w:szCs w:val="24"/>
        </w:rPr>
        <w:t>.</w:t>
      </w:r>
      <w:r w:rsidRPr="007B7815">
        <w:rPr>
          <w:rFonts w:ascii="David" w:eastAsia="Times New Roman" w:hAnsi="David" w:cs="David"/>
          <w:sz w:val="24"/>
          <w:szCs w:val="24"/>
        </w:rPr>
        <w:br/>
        <w:t xml:space="preserve">The manuscript appropriately converts </w:t>
      </w:r>
      <w:r w:rsidRPr="007B7815">
        <w:rPr>
          <w:rFonts w:ascii="Calibri" w:eastAsia="Times New Roman" w:hAnsi="Calibri" w:cs="Calibri"/>
          <w:sz w:val="24"/>
          <w:szCs w:val="24"/>
        </w:rPr>
        <w:t>β</w:t>
      </w:r>
      <w:r w:rsidRPr="007B7815">
        <w:rPr>
          <w:rFonts w:ascii="David" w:eastAsia="Times New Roman" w:hAnsi="David" w:cs="David"/>
          <w:sz w:val="24"/>
          <w:szCs w:val="24"/>
        </w:rPr>
        <w:t xml:space="preserve"> coefficients and other statistics into Pearson correlations. Nevertheless, the assumptions underlying these transformations </w:t>
      </w:r>
      <w:r w:rsidRPr="007B7815">
        <w:rPr>
          <w:rFonts w:ascii="David" w:eastAsia="Times New Roman" w:hAnsi="David" w:cs="David"/>
          <w:sz w:val="24"/>
          <w:szCs w:val="24"/>
        </w:rPr>
        <w:t>should be discussed</w:t>
      </w:r>
      <w:r w:rsidRPr="007B7815">
        <w:rPr>
          <w:rFonts w:ascii="David" w:eastAsia="Times New Roman" w:hAnsi="David" w:cs="David"/>
          <w:sz w:val="24"/>
          <w:szCs w:val="24"/>
        </w:rPr>
        <w:t xml:space="preserve"> more explicitly, especially because some converted effects may not be directly comparable to zero-order correlations.</w:t>
      </w:r>
    </w:p>
    <w:p w:rsidR="007B7815" w:rsidRPr="007B7815" w:rsidP="00C67EB3" w14:paraId="0093EC00" w14:textId="77777777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rPr>
          <w:rFonts w:ascii="David" w:eastAsia="Times New Roman" w:hAnsi="David" w:cs="David"/>
          <w:sz w:val="24"/>
          <w:szCs w:val="24"/>
        </w:rPr>
      </w:pPr>
      <w:r w:rsidRPr="00C67EB3">
        <w:rPr>
          <w:rFonts w:ascii="David" w:eastAsia="Times New Roman" w:hAnsi="David" w:cs="David"/>
          <w:b/>
          <w:bCs/>
          <w:sz w:val="24"/>
          <w:szCs w:val="24"/>
        </w:rPr>
        <w:t xml:space="preserve">Please clarify whether publication bias analyses </w:t>
      </w:r>
      <w:r w:rsidRPr="00C67EB3">
        <w:rPr>
          <w:rFonts w:ascii="David" w:eastAsia="Times New Roman" w:hAnsi="David" w:cs="David"/>
          <w:b/>
          <w:bCs/>
          <w:sz w:val="24"/>
          <w:szCs w:val="24"/>
        </w:rPr>
        <w:t>were adequately powered</w:t>
      </w:r>
      <w:r w:rsidRPr="00C67EB3">
        <w:rPr>
          <w:rFonts w:ascii="David" w:eastAsia="Times New Roman" w:hAnsi="David" w:cs="David"/>
          <w:b/>
          <w:bCs/>
          <w:sz w:val="24"/>
          <w:szCs w:val="24"/>
        </w:rPr>
        <w:t>.</w:t>
      </w:r>
      <w:r w:rsidRPr="007B7815">
        <w:rPr>
          <w:rFonts w:ascii="David" w:eastAsia="Times New Roman" w:hAnsi="David" w:cs="David"/>
          <w:sz w:val="24"/>
          <w:szCs w:val="24"/>
        </w:rPr>
        <w:br/>
        <w:t>Several publication-bias techniques, including Egger’s regression and trim-and-fill analyses, can become unstable when the number of included studies is small. The manuscript would benefit from acknowledging this limitation more explicitly when interpreting the publication-bias findings.</w:t>
      </w:r>
    </w:p>
    <w:p w:rsidR="007B7815" w:rsidRPr="007B7815" w:rsidP="00C67EB3" w14:paraId="0C842CC1" w14:textId="77777777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rPr>
          <w:rFonts w:ascii="David" w:eastAsia="Times New Roman" w:hAnsi="David" w:cs="David"/>
          <w:sz w:val="24"/>
          <w:szCs w:val="24"/>
        </w:rPr>
      </w:pPr>
      <w:r w:rsidRPr="00C67EB3">
        <w:rPr>
          <w:rFonts w:ascii="David" w:eastAsia="Times New Roman" w:hAnsi="David" w:cs="David"/>
          <w:b/>
          <w:bCs/>
          <w:sz w:val="24"/>
          <w:szCs w:val="24"/>
        </w:rPr>
        <w:t>Please adopt more cautious wording regarding causal interpretation.</w:t>
      </w:r>
      <w:r w:rsidRPr="007B7815">
        <w:rPr>
          <w:rFonts w:ascii="David" w:eastAsia="Times New Roman" w:hAnsi="David" w:cs="David"/>
          <w:sz w:val="24"/>
          <w:szCs w:val="24"/>
        </w:rPr>
        <w:br/>
        <w:t>Although the manuscript is generally careful, several sections occasionally imply directional influence between personality and achievement. Since the included evidence is predominantly correlational and cross-sectional, the language should consistently emphasize association rather than causal prediction.</w:t>
      </w:r>
    </w:p>
    <w:p w:rsidR="007B7815" w:rsidRPr="007B7815" w:rsidP="00C67EB3" w14:paraId="61B5BB1B" w14:textId="77777777">
      <w:pPr>
        <w:numPr>
          <w:ilvl w:val="0"/>
          <w:numId w:val="1"/>
        </w:numPr>
        <w:bidi w:val="0"/>
        <w:spacing w:before="100" w:beforeAutospacing="1" w:after="100" w:afterAutospacing="1" w:line="360" w:lineRule="auto"/>
        <w:rPr>
          <w:rFonts w:ascii="David" w:eastAsia="Times New Roman" w:hAnsi="David" w:cs="David"/>
          <w:sz w:val="24"/>
          <w:szCs w:val="24"/>
        </w:rPr>
      </w:pPr>
      <w:r w:rsidRPr="00C67EB3">
        <w:rPr>
          <w:rFonts w:ascii="David" w:eastAsia="Times New Roman" w:hAnsi="David" w:cs="David"/>
          <w:b/>
          <w:bCs/>
          <w:sz w:val="24"/>
          <w:szCs w:val="24"/>
        </w:rPr>
        <w:t>Please consider adding a concise practical implications subsection for educators and instructional designers.</w:t>
      </w:r>
      <w:r w:rsidRPr="007B7815">
        <w:rPr>
          <w:rFonts w:ascii="David" w:eastAsia="Times New Roman" w:hAnsi="David" w:cs="David"/>
          <w:sz w:val="24"/>
          <w:szCs w:val="24"/>
        </w:rPr>
        <w:br/>
        <w:t>The findings have meaningful implications for online course design, student support systems, and self-regulated learning interventions. A more applied summary would increase the translational value of the manuscript.</w:t>
      </w:r>
    </w:p>
    <w:p w:rsidR="007B7815" w:rsidRPr="007B7815" w:rsidP="00C67EB3" w14:paraId="0CC1E776" w14:textId="77777777">
      <w:pPr>
        <w:bidi w:val="0"/>
        <w:spacing w:before="100" w:beforeAutospacing="1" w:after="100" w:afterAutospacing="1" w:line="360" w:lineRule="auto"/>
        <w:rPr>
          <w:rFonts w:ascii="David" w:eastAsia="Times New Roman" w:hAnsi="David" w:cs="David"/>
          <w:sz w:val="24"/>
          <w:szCs w:val="24"/>
        </w:rPr>
      </w:pPr>
      <w:r w:rsidRPr="007B7815">
        <w:rPr>
          <w:rFonts w:ascii="David" w:eastAsia="Times New Roman" w:hAnsi="David" w:cs="David"/>
          <w:sz w:val="24"/>
          <w:szCs w:val="24"/>
        </w:rPr>
        <w:t>Overall, this is a well-executed and thoughtfully reported systematic review and meta-analysis that makes a meaningful contribution to the literature on personality and online learning.</w:t>
      </w:r>
      <w:r w:rsidRPr="007B7815">
        <w:rPr>
          <w:rFonts w:ascii="David" w:eastAsia="Times New Roman" w:hAnsi="David" w:cs="David"/>
          <w:sz w:val="24"/>
          <w:szCs w:val="24"/>
        </w:rPr>
        <w:t xml:space="preserve"> The manuscript demonstrates strong methodological transparency and </w:t>
      </w:r>
      <w:r w:rsidRPr="007B7815">
        <w:rPr>
          <w:rFonts w:ascii="David" w:eastAsia="Times New Roman" w:hAnsi="David" w:cs="David"/>
          <w:sz w:val="24"/>
          <w:szCs w:val="24"/>
        </w:rPr>
        <w:t xml:space="preserve">a clear theoretical contribution. With several clarifications and modest expansions to the discussion and limitations sections, the article </w:t>
      </w:r>
      <w:r w:rsidRPr="007B7815">
        <w:rPr>
          <w:rFonts w:ascii="David" w:eastAsia="Times New Roman" w:hAnsi="David" w:cs="David"/>
          <w:sz w:val="24"/>
          <w:szCs w:val="24"/>
        </w:rPr>
        <w:t>would be substantially strengthened</w:t>
      </w:r>
      <w:r w:rsidRPr="007B7815">
        <w:rPr>
          <w:rFonts w:ascii="David" w:eastAsia="Times New Roman" w:hAnsi="David" w:cs="David"/>
          <w:sz w:val="24"/>
          <w:szCs w:val="24"/>
        </w:rPr>
        <w:t>.</w:t>
      </w:r>
      <w:bookmarkStart w:id="0" w:name="_GoBack"/>
      <w:bookmarkEnd w:id="0"/>
    </w:p>
    <w:sectPr w:rsidSect="00EB3CC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3BBD002B"/>
    <w:multiLevelType w:val="multilevel"/>
    <w:tmpl w:val="274AC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40348D"/>
    <w:multiLevelType w:val="multilevel"/>
    <w:tmpl w:val="679E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815"/>
    <w:rsid w:val="0002534A"/>
    <w:rsid w:val="007B7815"/>
    <w:rsid w:val="00C67EB3"/>
    <w:rsid w:val="00CA67E2"/>
    <w:rsid w:val="00EB3CC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D0944A2-23B7-49BD-913E-71A8379BB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3"/>
    <w:uiPriority w:val="9"/>
    <w:qFormat/>
    <w:rsid w:val="007B781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3">
    <w:name w:val="כותרת 3 תו"/>
    <w:basedOn w:val="DefaultParagraphFont"/>
    <w:link w:val="Heading3"/>
    <w:uiPriority w:val="9"/>
    <w:rsid w:val="007B781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781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7815"/>
    <w:rPr>
      <w:b/>
      <w:bCs/>
    </w:rPr>
  </w:style>
  <w:style w:type="character" w:styleId="Emphasis">
    <w:name w:val="Emphasis"/>
    <w:basedOn w:val="DefaultParagraphFont"/>
    <w:uiPriority w:val="20"/>
    <w:qFormat/>
    <w:rsid w:val="007B78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