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Scoping Review with Exploratory Quantitative Synthesis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scoping review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scoping review with exploratory quantitative synthesis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PRISMA-ScR reporting guidelines for systematic and scoping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scoping review with exploratory quantitative synthesis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scoping review with exploratory quantitative synthesis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and screening decisions; 04_extraction (https://doi.org/10.17605/OSF.IO/5UW98) — data extraction CSV and coding manual; 05_risk_of_bias (https://doi.org/10.17605/OSF.IO/3XYNE) — JBI risk-of-bias ratings for each included study;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(https://doi.org/10.21203/rs.3.rs-9513298).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scoping review maps the available evidence on the Big Five-achievement association specifically in online, blended, and MOOC learning environments and provides an exploratory quantitative synthesis of the subset of studies amenable to meta-analysis. Following the PRISMA-ScR extension for scoping reviews (Tricco et al., 2018), the evidence base was charted via a targeted web-based search and open-access repository retrieval — the pre-registered subscription-gated bibliographic databases (PsycINFO, Scopus, Web of Science, ProQuest Dissertations) could not be accessed in the execution environment and are not searched here, a limitation discussed transparently throughout. 25 reports retained for the scoping map (and 31 full-text records catalogued in Table 1 with 6 documented post-eligibility exclusions) describe Big Five personality and academic achievement in online, blended, or MOOC environments. Ten of these contributed direct or β-converted Pearson correlations to an exploratory quantitative pool (pooled </w:t>
      </w:r>
      <w:r>
        <w:rPr>
          <w:rFonts w:ascii="Times New Roman" w:hAnsi="Times New Roman" w:eastAsia="Times New Roman"/>
          <w:i/>
          <w:sz w:val="24"/>
        </w:rPr>
        <w:t>N</w:t>
      </w:r>
      <w:r>
        <w:rPr>
          <w:rFonts w:ascii="Times New Roman" w:hAnsi="Times New Roman" w:eastAsia="Times New Roman"/>
          <w:sz w:val="24"/>
        </w:rPr>
        <w:t xml:space="preserve"> = 3,384),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Within this small and potentially incomplete map, Conscientiousness showed the largest exploratory pooled estimate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Pre-registered exploratory subgroup contrasts described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 but rest on as few as two studies per subgroup and should be treated as descriptive observations within the scoping map rather than as confirmatory tests of interaction. The map is broadly consistent with the Personality-Achievement Saturation Hypothesis (Meyer et al., 2023) tentatively extended to technology-mediated learning, but the small mappable pool (</w:t>
      </w:r>
      <w:r>
        <w:rPr>
          <w:rFonts w:ascii="Times New Roman" w:hAnsi="Times New Roman" w:eastAsia="Times New Roman"/>
          <w:i/>
          <w:sz w:val="24"/>
        </w:rPr>
        <w:t>k</w:t>
      </w:r>
      <w:r>
        <w:rPr>
          <w:rFonts w:ascii="Times New Roman" w:hAnsi="Times New Roman" w:eastAsia="Times New Roman"/>
          <w:sz w:val="24"/>
        </w:rPr>
        <w:t xml:space="preserve"> = 10), the limited reach of the executed search, and wide prediction intervals (which include zero for most traits) mean this consistency does not constitute confirmation. The review's primary contribution is a charted map of what is and is not yet known about Big Five effects in online learning, together with a concrete research agenda — a subscription-gated-database replication search, a linguistically inclusive corpus expansion, facet-level primary studies, and direct within-learner modality contrasts — rather than an established quantitative effect-size estimate. The exploratory pooled estimates and subgroup contrasts should not be used as a basis for pedagogical or design recommendations on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scoping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correlates of academic achievement that were established in face-to-face classrooms retain their correlational validity when instruction is mediated by technology? Personality traits, and in particular the Big Five (Five-Factor Model) dimensions of Conscientiousness, Openness to Experience, Extraversion, Agreeableness, and Neuroticism, are among the most widely studied non-cognitive correlates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is associated with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 complementary theoretical lens is provided by Trait Activation Theory (Tett &amp; Burnett, 2003), which predicts that stable dispositional traits are expressed behaviourally only when the situation contains cues relevant to that trait. TAT complements PASH by shifting the theoretical question from "why is a trait captured by an outcome measure?" (PASH) to "why is a trait expressed at all in a given learning context?" (TAT). For the present scoping review, TAT motivates three concrete expectations that would otherwise remain descriptive. First, Extraversion should be less strongly associated with academic outcomes in asynchronous online contexts than in face-to-face contexts, because the social and participatory cues that activate extraverted study behaviour (classroom discussion, study groups, in-person feedback) are attenuated in asynchronous formats. Second, Conscientiousness should remain associated with achievement across modalities, because the structured-task cues that activate conscientious study behaviour (deadlines, assessments, syllabi) are preserved in online formats. Third, Agreeableness should be more strongly associated with achievement in online contexts whose formats reward cooperative behaviour (e.g., peer-graded assignments, collaborative MOOCs), particularly in cultural contexts where cooperation is normative. TAT is therefore used, alongside PASH, as the second theoretical anchor for the mapping priors in the present review.</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correlate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correlate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expectations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expectations are theoretically motivated,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correlated with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correlate with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mapping prior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correlates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correlates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scoping review with exploratory quantitative synthesis is, to our knowledge, the first scoping mapping of the association between Big Five personality traits and academic achievement that focuses specifically on online learning environments. Consistent with PRISMA-ScR convention (Tricco et al., 2018), the review is organised around mapping questions and directional priors rather than around hypothesis tests. Three mapping questions are addressed. First (MQ1), how large is the available pooled estimate of the association between each Big Five trait and academic achievement in online learning environments within the mappable evidence base, and how does this estimate compare with published face-to-face benchmarks? Second (MQ2), does the association vary descriptively across learning modality, education level, region, era, outcome type, and personality instrument within the mappable evidence base? Third (MQ3), is the personality-achievement association in online environments fully accounted for by mediating constructs such as self-efficacy and self-regulation, or does it exhibit direct effects beyond these mediators? Because the evidence base is small and the executed search is incomplete relative to the pre-registered information-source plan, all three mapping questions are addressed descriptively rather than as confirmatory tests.</w:t>
      </w:r>
    </w:p>
    <w:p>
      <w:pPr>
        <w:spacing w:line="480" w:lineRule="auto" w:before="0" w:after="0"/>
        <w:ind w:firstLine="720"/>
      </w:pPr>
      <w:r>
        <w:rPr>
          <w:rFonts w:ascii="Times New Roman" w:hAnsi="Times New Roman" w:eastAsia="Times New Roman"/>
          <w:sz w:val="24"/>
        </w:rPr>
        <w:t xml:space="preserve">Five directional priors, pre-specified in the OSF registration (https://osf.io/e5w47/) as hypotheses, are reframed here as mapping priors (MP1 through MP5) that describe expectations against which the mapped evidence can be compared descriptively. Mapping Prior 1 (MP1) states that Conscientiousness is expected to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Mapping Prior 2 (MP2) states that Openness is expected to show the second-strongest positive correlation, potentially stronger than in face-to-face contexts, reflecting the premium placed on self-directed exploration in online environments. Mapping Prior 3 (MP3) states that Agreeableness is expected to show a small positive correlation, potentially weaker than in face-to-face contexts because cooperative group behaviors are less central in asynchronous online environments. Mapping Prior 4 (MP4) states that Neuroticism is expected to show a negative correlation, more pronounced in fully online than in blended modalities, reflecting the isolating and technology-mediated nature of fully online environments. Mapping Prior 5 (MP5) states that Extraversion is expected to show a null or weak negative correlation, with possible facet-level cancellation between sociability (expected negative) and assertiveness (expected positive) components, reflecting the reduced social presence of online environments. Mapping Priors MP2, MP4, and MP5 constitute the modality-specific contribution of this review, as they describe expected modality-related divergences from established patterns observed in face-to-face meta-analyses; the review evaluates the available evidence descriptively against these priors rather than performing formal hypothesis tests.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 to the author's knowledge, the first scoping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scoping review with exploratory quantitative synthesis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Scoping Review with Exploratory Quantitative Synthesis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PRISMA-ScR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Scoping reviews are designed to map the available evidence on a topic — including its breadth, conceptual boundaries, methodological characteristics, and gaps — rather than to provide an exhaustive synthesis of every relevant primary study (Munn et al., 2018; Tricco et al., 2018). The information-source plan for the present scoping review was originally pre-registered as a six-database systematic search (PubMed/MEDLINE, PsycINFO, ERIC, Web of Science, Scopus, and ProQuest Dissertations &amp; Theses Global), supplemented by Google Scholar and forward/backward citation snowballing. At execution time, however, three of those databases (PsycINFO, Scopus, Web of Science) and ProQuest Dissertations require institutional subscription access that was not available, and the direct E-utilities, OpenAlex, and Semantic Scholar APIs were blocked by the execution environment's network allowlist. Individual subscriptions to the three subscription-gated providers are not offered by Clarivate, Elsevier, or the American Psychological Association, so the absence of access could not be remedied by personal purchase. The actually executed search therefore consisted of: (a) a targeted web-based search interface equivalent in coverage to Google Scholar, executed April 23, 2026, applying the pre-specified three-concept Boolean strategy split into eight queries; (b) ERIC web search; (c) targeted retrieval from open-access repositories (PubMed Central, Frontiers, MDPI, Open Praxis); and (d) forward and backward citation snowballing from included primary studies and from the eight prior face-to-face Big Five-achievement meta-analyses that constitute the comparison corpus. Reframing the review as a scoping review (in place of a systematic review) is the direct consequence of this information-source gap: the executed search is sufficient to map the visible landscape of online-modality Big Five-achievement work, but is not sufficient to claim exhaustive coverage of the underlying literature, and the review is reported accordingly. The full search log with executed query syntax, dates, and hit counts is deposited on the associated OSF project (02_search component).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PRISMA-ScR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exploratory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exploratory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exploratory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 xml:space="preserve">Publication-bias diagnostics were computed per trait using four complementary procedures, and are reported for descriptive purposes only rather than as inferential tests capable of ruling out bias: visual inspection of funnel plots with pseudo-95% confidence bounds; Egger's regression asymmetry test (Egger et al., 1997); Peters' regression test adapted for correlation effect sizes; and Duval and Tweedie's (2000) trim-and-fill procedure, reported as a descriptive sensitivity check rather than as a point-estimate correction. In addition, p-curve analysis (Simonsohn et al., 2014) was performed to characterise the evidential value of the statistically significant primary estimates. All four diagnostics and the p-curve analysis are known to be underpowered at the small </w:t>
      </w:r>
      <w:r>
        <w:rPr>
          <w:rFonts w:ascii="Times New Roman" w:hAnsi="Times New Roman" w:eastAsia="Times New Roman"/>
          <w:i/>
          <w:sz w:val="24"/>
        </w:rPr>
        <w:t>k</w:t>
      </w:r>
      <w:r>
        <w:rPr>
          <w:rFonts w:ascii="Times New Roman" w:hAnsi="Times New Roman" w:eastAsia="Times New Roman"/>
          <w:sz w:val="24"/>
        </w:rPr>
        <w:t xml:space="preserve"> of the present exploratory quantitative pool (</w:t>
      </w:r>
      <w:r>
        <w:rPr>
          <w:rFonts w:ascii="Times New Roman" w:hAnsi="Times New Roman" w:eastAsia="Times New Roman"/>
          <w:i/>
          <w:sz w:val="24"/>
        </w:rPr>
        <w:t>k</w:t>
      </w:r>
      <w:r>
        <w:rPr>
          <w:rFonts w:ascii="Times New Roman" w:hAnsi="Times New Roman" w:eastAsia="Times New Roman"/>
          <w:sz w:val="24"/>
        </w:rPr>
        <w:t xml:space="preserve"> = 9–10 per trait, well below the </w:t>
      </w:r>
      <w:r>
        <w:rPr>
          <w:rFonts w:ascii="Times New Roman" w:hAnsi="Times New Roman" w:eastAsia="Times New Roman"/>
          <w:i/>
          <w:sz w:val="24"/>
        </w:rPr>
        <w:t>k</w:t>
      </w:r>
      <w:r>
        <w:rPr>
          <w:rFonts w:ascii="Times New Roman" w:hAnsi="Times New Roman" w:eastAsia="Times New Roman"/>
          <w:sz w:val="24"/>
        </w:rPr>
        <w:t xml:space="preserve"> ≥ 10–20 typically recommended for Egger and the </w:t>
      </w:r>
      <w:r>
        <w:rPr>
          <w:rFonts w:ascii="Times New Roman" w:hAnsi="Times New Roman" w:eastAsia="Times New Roman"/>
          <w:i/>
          <w:sz w:val="24"/>
        </w:rPr>
        <w:t>k</w:t>
      </w:r>
      <w:r>
        <w:rPr>
          <w:rFonts w:ascii="Times New Roman" w:hAnsi="Times New Roman" w:eastAsia="Times New Roman"/>
          <w:sz w:val="24"/>
        </w:rPr>
        <w:t xml:space="preserve"> ≥ 30 recommended for trim-and-fill in simulation studies), and non-significant results from any of the diagnostics should not be interpreted as evidence that publication bias is absent. Grey literature—doctoral dissertations and peer-reviewed conference proceedings—was included in the exploratory synthesis to partially mitigate file-drawer bias, while unpublished manuscripts and non-peer-reviewed preprints were excluded for quality reasons; this trade-off is acknowledged as a limitation in the Discussion.</w:t>
      </w:r>
    </w:p>
    <w:p>
      <w:pPr>
        <w:pStyle w:val="Heading2"/>
        <w:spacing w:line="480" w:lineRule="auto" w:before="0" w:after="0"/>
      </w:pPr>
      <w:r>
        <w:t>Completeness-of-Evidence Mapping (adapted from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 re-framed as a completeness-of-evidence mapping for this scoping review —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exploratory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exploratory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exploratory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Bahçekapılı &amp; Karaman, 2020 to .37 in Abe, 2020 paper-grade outcome),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(Yu, 2021 and Kaspar et al., 2023). Consistent with McAbee and Oswald (2013),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exploratory quantitative pool, larger samples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Zheng &amp; Zheng, 2023 </w:t>
      </w:r>
      <w:r>
        <w:rPr>
          <w:rFonts w:ascii="Times New Roman" w:hAnsi="Times New Roman" w:eastAsia="Times New Roman"/>
          <w:i/>
          <w:sz w:val="24"/>
        </w:rPr>
        <w:t>N</w:t>
      </w:r>
      <w:r>
        <w:rPr>
          <w:rFonts w:ascii="Times New Roman" w:hAnsi="Times New Roman" w:eastAsia="Times New Roman"/>
          <w:sz w:val="24"/>
        </w:rPr>
        <w:t xml:space="preserve"> = 282; Rodrigues et al., 2024 </w:t>
      </w:r>
      <w:r>
        <w:rPr>
          <w:rFonts w:ascii="Times New Roman" w:hAnsi="Times New Roman" w:eastAsia="Times New Roman"/>
          <w:i/>
          <w:sz w:val="24"/>
        </w:rPr>
        <w:t>N</w:t>
      </w:r>
      <w:r>
        <w:rPr>
          <w:rFonts w:ascii="Times New Roman" w:hAnsi="Times New Roman" w:eastAsia="Times New Roman"/>
          <w:sz w:val="24"/>
        </w:rPr>
        <w:t xml:space="preserve"> = 260;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Dang et al., 2025; general learning-engagement scale not online-specific) and one (A-02 Alkış &amp; Taşkaya Temizel, 2018)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Tokiwa, 2025; A-26 Wang et al., 2023), with an additional K-12 record (A-10 Boonyapison et al., 2025)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exploratory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quantitative analyses were performed in Python (version ≥ 3.11) using the scientific Python stack as the primary engine for random-effects meta-analysis, mixed-effects meta-regression, and heterogeneity diagnostics: NumPy and SciPy for numerical primitives (REML </w:t>
      </w:r>
      <w:r>
        <w:rPr>
          <w:rFonts w:ascii="Times New Roman" w:hAnsi="Times New Roman" w:eastAsia="Times New Roman"/>
          <w:i/>
          <w:sz w:val="24"/>
        </w:rPr>
        <w:t>τ²</w:t>
      </w:r>
      <w:r>
        <w:rPr>
          <w:rFonts w:ascii="Times New Roman" w:hAnsi="Times New Roman" w:eastAsia="Times New Roman"/>
          <w:sz w:val="24"/>
        </w:rPr>
        <w:t xml:space="preserve"> estimation, Fisher-z transformations, Hartung-Knapp-Sidik-Jonkman confidence-interval adjustment, Q-statistic and </w:t>
      </w:r>
      <w:r>
        <w:rPr>
          <w:rFonts w:ascii="Times New Roman" w:hAnsi="Times New Roman" w:eastAsia="Times New Roman"/>
          <w:i/>
          <w:sz w:val="24"/>
        </w:rPr>
        <w:t>I²</w:t>
      </w:r>
      <w:r>
        <w:rPr>
          <w:rFonts w:ascii="Times New Roman" w:hAnsi="Times New Roman" w:eastAsia="Times New Roman"/>
          <w:sz w:val="24"/>
        </w:rPr>
        <w:t xml:space="preserve"> computation, prediction-interval calculation), pandas for the extraction-CSV data layer, statsmodels for ancillary regression and trim-and-fill calculations, and Matplotlib for forest, funnel, and bubble plots. The clubSandwich approach to cluster-robust variance estimation (Pustejovsky, 2023; Tipton, 2015) was re-implemented in Python following the published mathematical specification rather than via the R package, and was validated against the canonical Harrer et al. (2021) worked examples. All analysis code, the deposited extraction CSV, and pinned package versions (uv.lock) are deposited on the associated OSF project (https://doi.org/10.17605/OSF.IO/79M5J), specifically in the 06_analysis component (https://doi.org/10.17605/OSF.IO/Q4XKB), and are mirrored at https://github.com/etoki/paper for version control. Any interested researcher can reproduce every analytic step reported in this paper from the deposited extraction CSV and the Python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PRISMA-ScR-style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exploratory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exploratory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Tokiwa, 2025; Tokiwa is in the scoping-retained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exploratory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exploratory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Tokiwa, A-26 Wang), undergraduate (15 studies), mixed undergraduate/graduate (5 studies: A-08, A-18, A-20, A-28, A-30), graduate only (2 studies: A-07 Cohen &amp; Baruth, 2017; A-37 Zheng &amp; Zheng, 2023), and mixed secondary/post-secondary (1 study: A-11 Cheng et al., 2023). Regional distribution, important for the pre-registered Asian-amplification moderator analysis, was Asia (12 studies; includes East Asian and Middle Eastern samples), Europe (7 studies), and North America (6 studies); within the exploratory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MacLean, 2022), the Ten-Item Personality Inventory (TIPI, TIPI-J; 2 studies: A-31 Rivers, A-37 Zheng &amp; Zheng), and other validated Big Five–aligned scales (Sahinidis and Tsaknis's (2021) 30-item custom scale, Chinese-language Big Five scales of A-20 Mustafa et al. (2022) and A-26 Wang et al. (2023), and McCrae's 40-item scale used in A-28 Yu; 4 studies in total). Achievement outcomes in the 10-study exploratory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exploratory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Exploratory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consistent with Mapping Prior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consistent with the descriptive direction of MP1,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correlated with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Mapping Prior 5 (MP5), which expected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Mapping Prior 3 (MP3), which correlated with a weaker Agreeableness effect in online than in face-to-face contexts. Within the exploratory pool the largest Agreeableness contribution came from a single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exploratory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direction of Mapping Prior 4 (MP4), which expected a negative effect more pronounced in fully online than in blended modalities; MP4 was not consistent with the evidence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(2024)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(Yu, 2021 weakly positive </w:t>
      </w:r>
      <w:r>
        <w:rPr>
          <w:rFonts w:ascii="Times New Roman" w:hAnsi="Times New Roman" w:eastAsia="Times New Roman"/>
          <w:i/>
          <w:sz w:val="24"/>
        </w:rPr>
        <w:t>β</w:t>
      </w:r>
      <w:r>
        <w:rPr>
          <w:rFonts w:ascii="Times New Roman" w:hAnsi="Times New Roman" w:eastAsia="Times New Roman"/>
          <w:sz w:val="24"/>
        </w:rPr>
        <w:t xml:space="preserve"> = .037; Kaspar et al., 2023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exploratory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MP4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exploratory quantitative pool (the 4 post-COVID studies in the scoping-synthesis retained set — A-13 Dang et al., 2025; A-17 Kara, 2024; A-25 Tokiwa, 2025; A-26 Wang et al., 2023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exploratory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hypothesised in Mapping Priors 4 and 2, respectively. This pattern suggests that the β-converted studies systematically attenuate trait effects and should be interpreted cautiously. Fourth, the leave-one-out analysis (Table S3) identified Yu (2021)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Publication-Bias Diagnostics (descriptive only)</w:t>
      </w:r>
    </w:p>
    <w:p>
      <w:pPr>
        <w:spacing w:line="480" w:lineRule="auto" w:before="0" w:after="0"/>
        <w:ind w:firstLine="720"/>
      </w:pPr>
      <w:r>
        <w:rPr>
          <w:rFonts w:ascii="Times New Roman" w:hAnsi="Times New Roman" w:eastAsia="Times New Roman"/>
          <w:sz w:val="24"/>
        </w:rPr>
        <w:t xml:space="preserve">The results in this subsection are reported for descriptive purposes only. All of the publication-bias diagnostics used here — funnel-plot inspection, Egger's regression, Peters' regression, and trim-and-fill — are known to be underpowered at </w:t>
      </w:r>
      <w:r>
        <w:rPr>
          <w:rFonts w:ascii="Times New Roman" w:hAnsi="Times New Roman" w:eastAsia="Times New Roman"/>
          <w:i/>
          <w:sz w:val="24"/>
        </w:rPr>
        <w:t>k</w:t>
      </w:r>
      <w:r>
        <w:rPr>
          <w:rFonts w:ascii="Times New Roman" w:hAnsi="Times New Roman" w:eastAsia="Times New Roman"/>
          <w:sz w:val="24"/>
        </w:rPr>
        <w:t xml:space="preserve"> = 9–10 per trait, and none of them can rule out publication bias at this evidence-base size. A non-significant Egger's or Peters' test result should therefore not be interpreted as evidence that bias is absent, and the trim-and-fill imputed studies below should not be interpreted as bias-corrected effect estimates.</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As emphasised in the descriptive-only caveat above, these non-significant results should not be interpreted as evidence that publication bias is absent — Egger's test has very low statistical power at </w:t>
      </w:r>
      <w:r>
        <w:rPr>
          <w:rFonts w:ascii="Times New Roman" w:hAnsi="Times New Roman" w:eastAsia="Times New Roman"/>
          <w:i/>
          <w:sz w:val="24"/>
        </w:rPr>
        <w:t>k</w:t>
      </w:r>
      <w:r>
        <w:rPr>
          <w:rFonts w:ascii="Times New Roman" w:hAnsi="Times New Roman" w:eastAsia="Times New Roman"/>
          <w:sz w:val="24"/>
        </w:rPr>
        <w:t xml:space="preserve"> = 9–10, and small-study positive bias for Conscientiousness in particular cannot be ruled out on the basis of the reported diagnostics.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Mapping Prior 5, further supporting the hypothesis when asymmetry is considered. Trim-and-fill adjusted estimates are reported as a sensitivity check only and do not replace the exploratory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Completeness-of-Evidence Summary</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MP5,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scoping review with exploratory quantitative synthesis provides , to the author's knowledge,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exploratory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correlate,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(Yu, 2021) within the exploratory pool, with convergent narrative evidence from East Asian (Wang et al., 2023) and Israeli (Baruth &amp; Cohen, 2023)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Mapping Prior 1 (Conscientiousness as strongest positive correlate).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MP1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directionally consistent with the theoretical expectation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Mapping Prior 2 (Openness as second-strongest positive correlate).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MP2 is not supported. The expectation that online environments would amplify the Openness effect through a premium on self-directed exploration was not borne out; the failure to support MP2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Mapping Prior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correlated with a weaker rather than stronger effect, is therefore not supported. Within the 9-study primary Agreeableness pool, the pooled estimate is driven principally by a single influential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exploratory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exploratory pool). These directional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Mapping Prior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MP4 — an overall negative pooled effect — is not supported by the primary analysis. The second component of MP4 — a more pronounced negative effect in fully online than in blended modalities — could not be evaluated quantitatively because only one study (A-02 Alkış &amp; Taşkaya Temizel, 2018)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direction of MP4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Mapping Prior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the MP5 expectation of a null overall estimate. The overall MP5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 to the author's knowledge,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 Whether these contextual shifts reflect the MP5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association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is directionally consistent with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implies a weakened Conscientiousness estimate; the present exploratory meta-analytic estimate is consistent with this expectation, though the magnitude of attenuation (Δr ≈ .04–.10 depending on benchmark) is at or near the replicability threshold documented by Zell and Lesick (2022) for second-order meta-analyses. Trait Activation Theory (Tett &amp; Burnett, 2003) offers a complementary account of the same descriptive pattern: the structured-task situational cues that activate conscientious study behaviour — deadlines, assessments, syllabus milestones — are preserved in online formats, which under TAT would imply relative preservation of the Conscientiousness association across modalities, whereas the interpersonal-observation cues emphasised by PASH are reduced online, which under PASH would imply attenuation. The descriptive pattern in the exploratory pool (preserved but attenuated Conscientiousness association) is directionally consistent with both accounts, and larger future syntheses will be needed to discriminate between them. The present extension of PASH to online-modality contexts is the present author's proposal and is not part of the original PASH formulation of Meyer et al. (2023).</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Extraversion–achievement associations at the tertiary level (Chen et al., 2025; Poropat, 2009), with the few modest positive effects concentrated in elementary/middle school contexts where classroom participation is more salient (Mammadov, 2022).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(Paulhus, 1998), but cannot by itself be taken as evidence for either model. Under Trait Activation Theory (Tett &amp; Burnett, 2003), the descriptive Region contrast is broadly consistent with the expectation that the social and participatory situational cues that activate extraverted engagement (classroom-style discussion, spontaneous peer interaction) are more attenuated in asynchronous online formats in cultural contexts where classroom discussion is less normative to begin with; and the descriptive Outcome-Type contrast is consistent with the TAT-adjacent expectation that self-report situations activate self-presentation cues for extraverts more strongly than objective testing situations do. As emphasised above, TAT is used here to organise the descriptive pattern rather than as a confirmatory test.</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(2022) and Chen et al. (2025),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(Yu, 2021)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exploratory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Hypotheses for Future Practical Testing</w:t>
      </w:r>
    </w:p>
    <w:p>
      <w:pPr>
        <w:spacing w:line="480" w:lineRule="auto" w:before="0" w:after="0"/>
        <w:ind w:firstLine="720"/>
      </w:pPr>
      <w:r>
        <w:rPr>
          <w:rFonts w:ascii="Times New Roman" w:hAnsi="Times New Roman" w:eastAsia="Times New Roman"/>
          <w:sz w:val="24"/>
        </w:rPr>
        <w:t>This subsection lists a small number of hypotheses for future practical testing that follow, directionally, from the mapped evidence. Every item below is framed as a hypothesis that requires empirical validation in independent primary research before being operationalised. The subsection is deliberately not framed as "practical implications" or "recommendations": the exploratory quantitative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subgroup contrasts that motivate the modality-related hypotheses below rest on a very small number of studies per subgroup (in some cases two to three). Practitioners, instructional designers, and educational technology developers should not use the hypotheses below as a basis for design or instructional decisions until each has been tested and supported in adequately powered primary research.</w:t>
      </w:r>
    </w:p>
    <w:p>
      <w:pPr>
        <w:spacing w:line="480" w:lineRule="auto" w:before="0" w:after="0"/>
        <w:ind w:firstLine="720"/>
      </w:pPr>
      <w:r>
        <w:rPr>
          <w:rFonts w:ascii="Times New Roman" w:hAnsi="Times New Roman" w:eastAsia="Times New Roman"/>
          <w:sz w:val="24"/>
        </w:rPr>
        <w:t>Hypothesis for future practical testing (HPT-1). Building on the observation that the Conscientiousness–achievement association is the only estimate in the present synthesis whose 95% prediction interval does not include zero, we hypothesise — for future empirical validation — that online-learning features that scaffold self-regulated learning (structured scheduling tools, progress tracking, deadline reminders, and LMS engagement analytics) are likely to correlate with achievement most strongly among learners who are lower in Conscientiousness. This hypothesis is the least tentative in the present synthesis, but is offered here as a hypothesis for future testing rather than as an actionable design recommendation.</w:t>
      </w:r>
    </w:p>
    <w:p>
      <w:pPr>
        <w:spacing w:line="480" w:lineRule="auto" w:before="0" w:after="0"/>
        <w:ind w:firstLine="720"/>
      </w:pPr>
      <w:r>
        <w:rPr>
          <w:rFonts w:ascii="Times New Roman" w:hAnsi="Times New Roman" w:eastAsia="Times New Roman"/>
          <w:sz w:val="24"/>
        </w:rPr>
        <w:t>Hypothesis for future practical testing (HPT-2). Building on the descriptive Extraversion × Region and Extraversion × Outcome-Type subgroup contrasts — noting that both rest on as few as two studies per subgroup on at least one side and that the "Asian" subset includes Middle Eastern samples whose positioning relative to East Asian collectivism is debated — we hypothesise, for future empirical testing rather than as a design recommendation, that (a) intentional incorporation of synchronous elements in fully asynchronous online courses in collectivistic cultural contexts may partially restore social channels through which extraverted learners express engagement, and (b) self-rated performance metrics in online contexts may be susceptible to extraversion-related self-enhancement bias and should be triangulated with objective indicators. Both sub-hypotheses require validation in adequately powered primary research with fully specified cultural context and matched objective / self-rated outcomes; the English-language restriction of the present review means that a non-trivial fraction of the underlying non-English cultural-context literature was implicitly excluded, which further motivates the future-testing framing rather than any operational use of these sub-hypotheses.</w:t>
      </w:r>
    </w:p>
    <w:p>
      <w:pPr>
        <w:spacing w:line="480" w:lineRule="auto" w:before="0" w:after="0"/>
        <w:ind w:firstLine="720"/>
      </w:pPr>
      <w:r>
        <w:rPr>
          <w:rFonts w:ascii="Times New Roman" w:hAnsi="Times New Roman" w:eastAsia="Times New Roman"/>
          <w:sz w:val="24"/>
        </w:rPr>
        <w:t>Hypothesis for future practical testing (HPT-3). Building on the fragile Agreeableness pooled estimate — driven primarily by a single Chinese MOOC sample (Yu, 2021) and appreciably attenuated in the single-study leave-one-out sensitivity analysis — we hypothesise, only for future empirical testing, that cooperative-learning designs in East Asian online contexts may correlate positively with achievement for high-Agreeableness learners. The estimate on which this hypothesis rests is the most fragile in the present synthesis and this hypothesis should not, by itself, motivate any cooperative-learning design recommendation. Convergent narrative evidence from other East Asian and Israeli studies is directionally consistent but not by itself sufficient to justify practical operationalisation. In parallel, and building on the failure to support an amplified Openness estimate, we tentatively hypothesise that exploration-oriented features of current institutional LMS platforms (novel digital tools, supplementary multimedia, flexible navigation) do not currently correlate with achievement gains for high-Openness learners at a detectable magnitude, possibly reflecting the standardisation of online assessment and the constrained range of exploration afforded by most institutional LMS platforms. Both sub-hypotheses are exploratory and are offered for future empirical testing rather than as actionable guidance.</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exploratory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(Yu, 2021)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scoping mapping of the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(2005) transformation) is at the lower bound of what is generally considered adequate for robust random-effects estimation (Borenstein et al., 2021). With a exploratory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2020/PRISMA-ScR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(Tokiwa, 2025) was included in the scoping-retained set as a potentially eligible record. A pre-specified sensitivity analysis excluding this study did not alter the pooled estimates (|Δr| &lt; .001 for every trait) because Tokiwa (2025) did not contribute extractable zero-order correlations to the exploratory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described Extraversion × modality contrast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era-level differences in the personality-achievement association reflect genuine changes in mechanism or sampling artifacts. Fourth, cross-cultural replication with matched online course content and assessment would isolate the cultural-moderator contribution to the Agreeableness estimate. Fifth, mediator analyses probing self-efficacy, self-regulated learning behaviors, and LMS engagement patterns would clarify the hypothesised association pathway between personality and online achievement, extending the Stajkovic et al. (2018) path-analytic framework to online contexts.</w:t>
      </w:r>
    </w:p>
    <w:p>
      <w:pPr>
        <w:spacing w:line="480" w:lineRule="auto" w:before="0" w:after="0"/>
        <w:ind w:firstLine="720"/>
      </w:pPr>
      <w:r>
        <w:rPr>
          <w:rFonts w:ascii="Times New Roman" w:hAnsi="Times New Roman" w:eastAsia="Times New Roman"/>
          <w:sz w:val="24"/>
        </w:rPr>
        <w:t>Sixth, and building on a suggestion from the peer-review process, the academic discipline (or discipline group) in which online learning takes place should itself be treated as a candidate moderator in future syntheses. The scoping-retained studies of the present review span a heterogeneous mix of disciplines — including psychology, education, information technology and computing, health sciences, business, and mixed general-education contexts — but the number of studies per discipline is too small (typically one to three per discipline in the exploratory quantitative pool) to support a formal discipline-moderator analysis in the present synthesis. As the online-modality Big Five–achievement literature grows, a future update with a larger corpus should record the discipline of each included study as a first-order extraction field, test whether the Conscientiousness–achievement association differs between quantitatively demanding disciplines (e.g., STEM, computing) and less structured ones (e.g., humanities, general education), and test whether the Extraversion–achievement association differs between discipline groups whose online formats typically involve more or less peer interaction. Discipline should be recorded as an ordinal or categorical variable rather than as free text so that it can be pooled reliably across studies.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exploratory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correlate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(Yu, 2021), and this finding is fragile to the exclusion of that single study; and Neuroticism and Openness effects were essentially null in the exploratory synthesis. The findings are consistent with the Personality-Achievement Saturation Hypothesis (Meyer et al., 2023)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Munn, Z., Peters, </w:t>
      </w:r>
      <w:r>
        <w:rPr>
          <w:rFonts w:ascii="Times New Roman" w:hAnsi="Times New Roman" w:eastAsia="Times New Roman"/>
          <w:i/>
          <w:sz w:val="24"/>
        </w:rPr>
        <w:t>M</w:t>
      </w:r>
      <w:r>
        <w:rPr>
          <w:rFonts w:ascii="Times New Roman" w:hAnsi="Times New Roman" w:eastAsia="Times New Roman"/>
          <w:sz w:val="24"/>
        </w:rPr>
        <w:t>. D. J., Stern, C., Tufanaru, C., McArthur, A., &amp; Aromataris, E. (2018). Systematic review or scoping review? Guidance for authors when choosing between a systematic or scoping review approach. BMC Medical Research Methodology, 18, 143. https://doi.org/10.1186/s12874-018-0611-x</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Tett, R. P., &amp; Burnett, D. D. (2003). A personality trait-based interactionist model of job performance. </w:t>
      </w:r>
      <w:r>
        <w:rPr>
          <w:rFonts w:ascii="Times New Roman" w:hAnsi="Times New Roman" w:eastAsia="Times New Roman"/>
          <w:i/>
          <w:sz w:val="24"/>
        </w:rPr>
        <w:t>Journal of Applied Psychology, 88</w:t>
      </w:r>
      <w:r>
        <w:rPr>
          <w:rFonts w:ascii="Times New Roman" w:hAnsi="Times New Roman" w:eastAsia="Times New Roman"/>
          <w:sz w:val="24"/>
        </w:rPr>
        <w:t>(3), 500–517. https://doi.org/10.1037/0021-9010.88.3.500</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Tricco, A. C., Lillie, E., Zarin, W., O'Brien, K. K., Colquhoun, H., Levac, D., Moher, D., Peters, </w:t>
      </w:r>
      <w:r>
        <w:rPr>
          <w:rFonts w:ascii="Times New Roman" w:hAnsi="Times New Roman" w:eastAsia="Times New Roman"/>
          <w:i/>
          <w:sz w:val="24"/>
        </w:rPr>
        <w:t>M</w:t>
      </w:r>
      <w:r>
        <w:rPr>
          <w:rFonts w:ascii="Times New Roman" w:hAnsi="Times New Roman" w:eastAsia="Times New Roman"/>
          <w:sz w:val="24"/>
        </w:rPr>
        <w:t xml:space="preserve">. D. J., Horsley, T., Weeks, L., Hempel, S., Akl, E. A., Chang, C., McGowan, J., Stewart, L., Hartling, L., Aldcroft, A., Wilson, </w:t>
      </w:r>
      <w:r>
        <w:rPr>
          <w:rFonts w:ascii="Times New Roman" w:hAnsi="Times New Roman" w:eastAsia="Times New Roman"/>
          <w:i/>
          <w:sz w:val="24"/>
        </w:rPr>
        <w:t>M</w:t>
      </w:r>
      <w:r>
        <w:rPr>
          <w:rFonts w:ascii="Times New Roman" w:hAnsi="Times New Roman" w:eastAsia="Times New Roman"/>
          <w:sz w:val="24"/>
        </w:rPr>
        <w:t>. G., Garritty, C., … Straus, S. E. (2018). PRISMA Extension for Scoping Reviews (PRISMA-ScR): Checklist and explanation. Annals of Internal Medicine, 169(7), 467–473. https://doi.org/10.7326/M18-0850</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in the deep-reading-notes ledger (A-XX sequence). </w:t>
      </w:r>
      <w:r>
        <w:rPr>
          <w:rFonts w:ascii="Times New Roman" w:hAnsi="Times New Roman" w:eastAsia="Times New Roman"/>
          <w:i/>
          <w:sz w:val="24"/>
        </w:rPr>
        <w:t>N</w:t>
      </w:r>
      <w:r>
        <w:rPr>
          <w:rFonts w:ascii="Times New Roman" w:hAnsi="Times New Roman" w:eastAsia="Times New Roman"/>
          <w:sz w:val="24"/>
        </w:rPr>
        <w:t xml:space="preserve">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w:t>
      </w:r>
      <w:r>
        <w:rPr>
          <w:rFonts w:ascii="Times New Roman" w:hAnsi="Times New Roman" w:eastAsia="Times New Roman"/>
          <w:i/>
          <w:sz w:val="24"/>
        </w:rPr>
        <w:t>k</w:t>
      </w:r>
      <w:r>
        <w:rPr>
          <w:rFonts w:ascii="Times New Roman" w:hAnsi="Times New Roman" w:eastAsia="Times New Roman"/>
          <w:sz w:val="24"/>
        </w:rPr>
        <w:t xml:space="preserve"> = 10) — Inc-pri = included in exploratory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w:t>
      </w:r>
      <w:r>
        <w:rPr>
          <w:rFonts w:ascii="Times New Roman" w:hAnsi="Times New Roman" w:eastAsia="Times New Roman"/>
          <w:i/>
          <w:sz w:val="24"/>
        </w:rPr>
        <w:t>r</w:t>
      </w:r>
      <w:r>
        <w:rPr>
          <w:rFonts w:ascii="Times New Roman" w:hAnsi="Times New Roman" w:eastAsia="Times New Roman"/>
          <w:sz w:val="24"/>
        </w:rPr>
        <w:t xml:space="preserve"> for the exploratory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(2009) and A-27 Wu &amp; Yu (2024)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[.048, .243]</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[−.167, .556]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[−.086, .265]</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[−.637, .715]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[−.115, .039]</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[−.136, .356]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[−.054, .308]</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[−.862, .881]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[−.097, .080]</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[−.926, .954]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[.105, .298]</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[.111, .252]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[−.117, .178]</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[−.052, .242]</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[−.087, .122]</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[−.088,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[−.015, .148]</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[−.036, .281]</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[−.126, .040]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[−.093, .130]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 xml:space="preserve">Note. Δr = change in pooled correlation from the primary analysis. A double dagger (‡) denotes a sensitivity-analysis-induced shift exceeding |Δr| = .05, which is considered potentially influential per the pre-registered threshold. A single dagger (†) denotes a significant Egger test at </w:t>
      </w:r>
      <w:r>
        <w:rPr>
          <w:rFonts w:ascii="Times New Roman" w:hAnsi="Times New Roman" w:eastAsia="Times New Roman"/>
          <w:i/>
          <w:sz w:val="24"/>
        </w:rPr>
        <w:t>p</w:t>
      </w:r>
      <w:r>
        <w:rPr>
          <w:rFonts w:ascii="Times New Roman" w:hAnsi="Times New Roman" w:eastAsia="Times New Roman"/>
          <w:sz w:val="24"/>
        </w:rPr>
        <w:t xml:space="preserve"> &lt; .05. "Exclude Tokiwa (COI)" removes the present author's prior primary study (Tokiwa, 2025); the zero delta reflects that this study did not contribute a direct </w:t>
      </w:r>
      <w:r>
        <w:rPr>
          <w:rFonts w:ascii="Times New Roman" w:hAnsi="Times New Roman" w:eastAsia="Times New Roman"/>
          <w:i/>
          <w:sz w:val="24"/>
        </w:rPr>
        <w:t>r</w:t>
      </w:r>
      <w:r>
        <w:rPr>
          <w:rFonts w:ascii="Times New Roman" w:hAnsi="Times New Roman" w:eastAsia="Times New Roman"/>
          <w:sz w:val="24"/>
        </w:rPr>
        <w:t xml:space="preserve"> to the exploratory pool. "Exclude β-converted" restricts the pool to studies reporting direct Pearson </w:t>
      </w:r>
      <w:r>
        <w:rPr>
          <w:rFonts w:ascii="Times New Roman" w:hAnsi="Times New Roman" w:eastAsia="Times New Roman"/>
          <w:i/>
          <w:sz w:val="24"/>
        </w:rPr>
        <w:t>r</w:t>
      </w:r>
      <w:r>
        <w:rPr>
          <w:rFonts w:ascii="Times New Roman" w:hAnsi="Times New Roman" w:eastAsia="Times New Roman"/>
          <w:sz w:val="24"/>
        </w:rPr>
        <w:t xml:space="preserve"> or Spearman </w:t>
      </w:r>
      <w:r>
        <w:rPr>
          <w:rFonts w:ascii="Times New Roman" w:hAnsi="Times New Roman" w:eastAsia="Times New Roman"/>
          <w:i/>
          <w:sz w:val="24"/>
        </w:rPr>
        <w:t>ρ</w:t>
      </w:r>
      <w:r>
        <w:rPr>
          <w:rFonts w:ascii="Times New Roman" w:hAnsi="Times New Roman" w:eastAsia="Times New Roman"/>
          <w:sz w:val="24"/>
        </w:rPr>
        <w:t>.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Completeness-of-Evidence Summary: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(Schünemann et al., 2019). Five standard domains are evaluated per trait: Risk of Bias (mean JBI aggregate score across studies in the pool; serious if mean &lt; 5), Inconsistency (</w:t>
      </w:r>
      <w:r>
        <w:rPr>
          <w:rFonts w:ascii="Times New Roman" w:hAnsi="Times New Roman" w:eastAsia="Times New Roman"/>
          <w:i/>
          <w:sz w:val="24"/>
        </w:rPr>
        <w:t>I²</w:t>
      </w:r>
      <w:r>
        <w:rPr>
          <w:rFonts w:ascii="Times New Roman" w:hAnsi="Times New Roman" w:eastAsia="Times New Roman"/>
          <w:sz w:val="24"/>
        </w:rPr>
        <w:t xml:space="preserve"> and prediction interval;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Indirectness (population, exposure, or outcome indirectness relative to the review question), Imprecision (serious if 95% CI crosses the null or is wider than 2 × MOI of |r| = .10), and Publication Bias (serious if Egger's test is significant at </w:t>
      </w:r>
      <w:r>
        <w:rPr>
          <w:rFonts w:ascii="Times New Roman" w:hAnsi="Times New Roman" w:eastAsia="Times New Roman"/>
          <w:i/>
          <w:sz w:val="24"/>
        </w:rPr>
        <w:t>p</w:t>
      </w:r>
      <w:r>
        <w:rPr>
          <w:rFonts w:ascii="Times New Roman" w:hAnsi="Times New Roman" w:eastAsia="Times New Roman"/>
          <w:sz w:val="24"/>
        </w:rPr>
        <w:t xml:space="preserve">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w:t>
      </w:r>
      <w:r>
        <w:rPr>
          <w:rFonts w:ascii="Times New Roman" w:hAnsi="Times New Roman" w:eastAsia="Times New Roman"/>
          <w:i/>
          <w:sz w:val="24"/>
        </w:rPr>
        <w:t>k</w:t>
      </w:r>
      <w:r>
        <w:rPr>
          <w:rFonts w:ascii="Times New Roman" w:hAnsi="Times New Roman" w:eastAsia="Times New Roman"/>
          <w:sz w:val="24"/>
        </w:rPr>
        <w:t xml:space="preserve">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PRISMA-ScR-style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PRISMA-ScR statement (Tricco et al., 2018) (Page et al., 2021). Records were identified through WebSearch-based formal search (</w:t>
      </w:r>
      <w:r>
        <w:rPr>
          <w:rFonts w:ascii="Times New Roman" w:hAnsi="Times New Roman" w:eastAsia="Times New Roman"/>
          <w:i/>
          <w:sz w:val="24"/>
        </w:rPr>
        <w:t>n</w:t>
      </w:r>
      <w:r>
        <w:rPr>
          <w:rFonts w:ascii="Times New Roman" w:hAnsi="Times New Roman" w:eastAsia="Times New Roman"/>
          <w:sz w:val="24"/>
        </w:rPr>
        <w:t xml:space="preserve"> = 80 from eight structured queries), preliminary informal search yielding a previously curated corpus (</w:t>
      </w:r>
      <w:r>
        <w:rPr>
          <w:rFonts w:ascii="Times New Roman" w:hAnsi="Times New Roman" w:eastAsia="Times New Roman"/>
          <w:i/>
          <w:sz w:val="24"/>
        </w:rPr>
        <w:t>n</w:t>
      </w:r>
      <w:r>
        <w:rPr>
          <w:rFonts w:ascii="Times New Roman" w:hAnsi="Times New Roman" w:eastAsia="Times New Roman"/>
          <w:sz w:val="24"/>
        </w:rPr>
        <w:t xml:space="preserve"> = 28), and citation snowballing combined with open-access repository downloads (</w:t>
      </w:r>
      <w:r>
        <w:rPr>
          <w:rFonts w:ascii="Times New Roman" w:hAnsi="Times New Roman" w:eastAsia="Times New Roman"/>
          <w:i/>
          <w:sz w:val="24"/>
        </w:rPr>
        <w:t>n</w:t>
      </w:r>
      <w:r>
        <w:rPr>
          <w:rFonts w:ascii="Times New Roman" w:hAnsi="Times New Roman" w:eastAsia="Times New Roman"/>
          <w:sz w:val="24"/>
        </w:rPr>
        <w:t xml:space="preserve"> = 12), for a total of 120 records. After deduplication (</w:t>
      </w:r>
      <w:r>
        <w:rPr>
          <w:rFonts w:ascii="Times New Roman" w:hAnsi="Times New Roman" w:eastAsia="Times New Roman"/>
          <w:i/>
          <w:sz w:val="24"/>
        </w:rPr>
        <w:t>n</w:t>
      </w:r>
      <w:r>
        <w:rPr>
          <w:rFonts w:ascii="Times New Roman" w:hAnsi="Times New Roman" w:eastAsia="Times New Roman"/>
          <w:sz w:val="24"/>
        </w:rPr>
        <w:t xml:space="preserve">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w:t>
      </w:r>
      <w:r>
        <w:rPr>
          <w:rFonts w:ascii="Times New Roman" w:hAnsi="Times New Roman" w:eastAsia="Times New Roman"/>
          <w:i/>
          <w:sz w:val="24"/>
        </w:rPr>
        <w:t>n</w:t>
      </w:r>
      <w:r>
        <w:rPr>
          <w:rFonts w:ascii="Times New Roman" w:hAnsi="Times New Roman" w:eastAsia="Times New Roman"/>
          <w:sz w:val="24"/>
        </w:rPr>
        <w:t xml:space="preserve"> = 5; MBTI, Proactive Personality, TAM, TUE, and other non-FFM operationalization), face-to-face modality (</w:t>
      </w:r>
      <w:r>
        <w:rPr>
          <w:rFonts w:ascii="Times New Roman" w:hAnsi="Times New Roman" w:eastAsia="Times New Roman"/>
          <w:i/>
          <w:sz w:val="24"/>
        </w:rPr>
        <w:t>n</w:t>
      </w:r>
      <w:r>
        <w:rPr>
          <w:rFonts w:ascii="Times New Roman" w:hAnsi="Times New Roman" w:eastAsia="Times New Roman"/>
          <w:sz w:val="24"/>
        </w:rPr>
        <w:t xml:space="preserve"> = 4; A-09 Bhattacharjee &amp; Ramkumar, 2025; A-10 Boonyapison et al., 2025; A-14 Eilam et al., 2009; A-16 Hidalgo-Fuentes et al., 2024), sample overlap with an already-included study (</w:t>
      </w:r>
      <w:r>
        <w:rPr>
          <w:rFonts w:ascii="Times New Roman" w:hAnsi="Times New Roman" w:eastAsia="Times New Roman"/>
          <w:i/>
          <w:sz w:val="24"/>
        </w:rPr>
        <w:t>n</w:t>
      </w:r>
      <w:r>
        <w:rPr>
          <w:rFonts w:ascii="Times New Roman" w:hAnsi="Times New Roman" w:eastAsia="Times New Roman"/>
          <w:sz w:val="24"/>
        </w:rPr>
        <w:t xml:space="preserve"> = 1; A-05 Audet et al., 2023 overlapped with A-04 Audet et al., 2021), and effect size not extractable (</w:t>
      </w:r>
      <w:r>
        <w:rPr>
          <w:rFonts w:ascii="Times New Roman" w:hAnsi="Times New Roman" w:eastAsia="Times New Roman"/>
          <w:i/>
          <w:sz w:val="24"/>
        </w:rPr>
        <w:t>n</w:t>
      </w:r>
      <w:r>
        <w:rPr>
          <w:rFonts w:ascii="Times New Roman" w:hAnsi="Times New Roman" w:eastAsia="Times New Roman"/>
          <w:sz w:val="24"/>
        </w:rPr>
        <w:t xml:space="preserve"> = 1; A-24 Tlili et al., 2023, lag sequential analysis). The remaining studies, supplemented by four newly identified primary studies (A-29 Bahçekapılı &amp; Karaman, 2020; A-30 Kaspar et al., 2023; A-31 Rivers, 2021; A-37 Zheng &amp; Zheng, 2023), yielded 31 primary studies catalogued in this review (Table 1). Of these, 25 were retained for qualitative synthesis, and 10 contributed direct Pearson correlations or β-converted effect sizes to the exploratory quantitative achievement pool (with two studies — A-28 Yu, 2021 and A-30 Kaspar et al., 2023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