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Scoping Review with Exploratory Quantitative Synthesis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scoping review was pre-registered on OSF Registries (https://doi.org/10.17605/OSF.IO/E5W47) prior to data extraction, and all data, analysis code, and supplementary materials are publicly available in the associated OSF project (https://doi.org/10.17605/OSF.IO/79M5J).</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[1]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scoping review with exploratory quantitative synthesis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PRISMA-ScR reporting guidelines for systematic and scoping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scoping review with exploratory quantitative synthesis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scoping review with exploratory quantitative synthesis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and screening decisions; 04_extraction (https://doi.org/10.17605/OSF.IO/5UW98) — data extraction CSV and coding manual; 05_risk_of_bias (https://doi.org/10.17605/OSF.IO/3XYNE) — JBI risk-of-bias ratings for each included study;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(https://doi.org/10.21203/rs.3.rs-9513298).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scoping review maps the available evidence on the Big Five-achievement association specifically in online, blended, and MOOC learning environments and provides an exploratory quantitative synthesis of the subset of studies amenable to meta-analysis. Following the PRISMA-ScR extension for scoping reviews [2], the evidence base was charted via a targeted web-based search and open-access repository retrieval — the pre-registered subscription-gated bibliographic databases (PsycINFO, Scopus, Web of Science, ProQuest Dissertations) could not be accessed in the execution environment and are not searched here, a limitation discussed transparently throughout. 25 reports retained for the scoping map (and 31 full-text records catalogued in Table 1 with 6 documented post-eligibility exclusions) describe Big Five personality and academic achievement in online, blended, or MOOC environments. Ten of these contributed direct or β-converted Pearson correlations to an exploratory quantitative pool (pooled </w:t>
      </w:r>
      <w:r>
        <w:rPr>
          <w:rFonts w:ascii="Times New Roman" w:hAnsi="Times New Roman" w:eastAsia="Times New Roman"/>
          <w:i/>
          <w:sz w:val="24"/>
        </w:rPr>
        <w:t>N</w:t>
      </w:r>
      <w:r>
        <w:rPr>
          <w:rFonts w:ascii="Times New Roman" w:hAnsi="Times New Roman" w:eastAsia="Times New Roman"/>
          <w:sz w:val="24"/>
        </w:rPr>
        <w:t xml:space="preserve"> = 3,384),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Within this small and potentially incomplete map, Conscientiousness showed the largest exploratory pooled estimate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Pre-registered exploratory subgroup contrasts described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 but rest on as few as two studies per subgroup and should be treated as descriptive observations within the scoping map rather than as confirmatory tests of interaction. The map is broadly consistent with the Personality-Achievement Saturation Hypothesis [3] tentatively extended to technology-mediated learning, but the small mappable pool (</w:t>
      </w:r>
      <w:r>
        <w:rPr>
          <w:rFonts w:ascii="Times New Roman" w:hAnsi="Times New Roman" w:eastAsia="Times New Roman"/>
          <w:i/>
          <w:sz w:val="24"/>
        </w:rPr>
        <w:t>k</w:t>
      </w:r>
      <w:r>
        <w:rPr>
          <w:rFonts w:ascii="Times New Roman" w:hAnsi="Times New Roman" w:eastAsia="Times New Roman"/>
          <w:sz w:val="24"/>
        </w:rPr>
        <w:t xml:space="preserve"> = 10), the limited reach of the executed search, and wide prediction intervals (which include zero for most traits) mean this consistency does not constitute confirmation. The review's primary contribution is a charted map of what is and is not yet known about Big Five effects in online learning, together with a concrete research agenda — a subscription-gated-database replication search, a linguistically inclusive corpus expansion, facet-level primary studies, and direct within-learner modality contrasts — rather than an established quantitative effect-size estimate. The exploratory pooled estimates and subgroup contrasts should not be used as a basis for pedagogical or design recommendations on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scoping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highlight w:val="yellow"/>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correlates of academic achievement that were established in face-to-face classrooms retain their correlational validity when instruction is mediated by technology? Personality traits, and in particular the Big Five (Five-Factor Model) dimensions of Conscientiousness, Openness to Experience, Extraversion, Agreeableness, and Neuroticism, are among the most widely studied non-cognitive correlates of academic achievement [4, 5].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highlight w:val="yellow"/>
        </w:rPr>
        <w:t xml:space="preserve">Eight large-scale meta-analyses have established a robust pattern of associations between the Big Five personality traits and academic achievement. Poropat [5], synthesizing 138 samples and over 70,000 participants, reported a corrected correlation of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.22 between Conscientiousness and academic performance, with smaller but significant effects for Openness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.12) and Agreeableness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.07), and essentially null effects for Extraversion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−.01) and Neuroticism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.02). These findings were replicated and extended by McAbee and Oswald (2013;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57,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 26,382; C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.26) and by Vedel (2014;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21,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 17,717; C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.26), both restricted to tertiary education. Stajkovic et al. [6] provided additional evidence that Conscientiousness is associated with academic achievement both directly and indirectly through self-efficacy, with the self-efficacy path carrying a substantial proportion of the Conscientiousness effect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[4],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[7],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[8],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highlight w:val="yellow"/>
        </w:rPr>
        <w:t>A complementary theoretical lens is provided by Trait Activation Theory [9], which predicts that stable dispositional traits are expressed behaviourally only when the situation contains cues relevant to that trait. TAT complements PASH by shifting the theoretical question from "why is a trait captured by an outcome measure?" (PASH) to "why is a trait expressed at all in a given learning context?" (TAT). For the present scoping review, TAT motivates three concrete expectations that would otherwise remain descriptive. First, Extraversion should be less strongly associated with academic outcomes in asynchronous online contexts than in face-to-face contexts, because the social and participatory cues that activate extraverted study behaviour (classroom discussion, study groups, in-person feedback) are attenuated in asynchronous formats. Second, Conscientiousness should remain associated with achievement across modalities, because the structured-task cues that activate conscientious study behaviour (deadlines, assessments, syllabi) are preserved in online formats. Third, Agreeableness should be more strongly associated with achievement in online contexts whose formats reward cooperative behaviour (e.g., peer-graded assignments, collaborative MOOCs), particularly in cultural contexts where cooperation is normative. TAT is therefore used, alongside PASH, as the second theoretical anchor for the mapping priors in the present review.</w:t>
      </w:r>
    </w:p>
    <w:p>
      <w:pPr>
        <w:spacing w:line="480" w:lineRule="auto" w:before="0" w:after="0"/>
        <w:ind w:firstLine="720"/>
      </w:pPr>
      <w:r>
        <w:rPr>
          <w:rFonts w:ascii="Times New Roman" w:hAnsi="Times New Roman" w:eastAsia="Times New Roman"/>
          <w:sz w:val="24"/>
          <w:highlight w:val="yellow"/>
        </w:rPr>
        <w:t>Across these eight meta-analyses, a convergent picture emerges: Conscientiousness is the dominant correlate of academic achievement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.19 to .28), with Openness serving as a reliable secondary correlate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.07 to .21). Agreeableness exhibits small positive effects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[10].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[11].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highlight w:val="yellow"/>
        </w:rPr>
        <w:t xml:space="preserve">These four dimensions—self-regulation demands, reduced social presence, temporal flexibility, and technology mediation—motivate specific expectations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expectations are theoretically motivated,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[12],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[12]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highlight w:val="yellow"/>
        </w:rPr>
        <w:t>Examining the primary literature directly reveals considerable heterogeneity in reported effect sizes. In fully online asynchronous contexts, Abe [13] reported strong correlations between Conscientiousness and both quiz performance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.48) and paper grades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.37), with Openness also correlated with paper grades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.35). Alkış and Taşkaya Temizel [14], comparing online and blended sections of the same course, found Conscientiousness to correlate with course grades in both modalities (online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.205; blended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.244), with other traits exhibiting only null effects. In the COVID-era German higher education context, Rodrigues et al. [15] reported a moderate negative correlation between Conscientiousness and self-reported GPA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−.228 with grades coded such that lower values indicate better performance), and significant negative associations between Neuroticism and study satisfaction and well-being. Rivers [16], studying Japanese undergraduates in an asynchronous Moodle course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 149), reported a direct negative effect of Extraversion on course achievement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−.168,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&lt; .01), consistent with the mapping prior that social-cue deprivation in asynchronous environments disadvantages extraverted learners.</w:t>
      </w:r>
    </w:p>
    <w:p>
      <w:pPr>
        <w:spacing w:line="480" w:lineRule="auto" w:before="0" w:after="0"/>
        <w:ind w:firstLine="720"/>
      </w:pPr>
      <w:r>
        <w:rPr>
          <w:rFonts w:ascii="Times New Roman" w:hAnsi="Times New Roman" w:eastAsia="Times New Roman"/>
          <w:sz w:val="24"/>
          <w:highlight w:val="yellow"/>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 1,625), Big Five traits were associated with academic achievement only indirectly through online learning engagement, with Conscientiousness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.322) and Openness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.253) serving as the strongest correlates of engagement. Yu [17], in a Chinese MOOC platform sample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 1,152), reported that Agreeableness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.442) and Openness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.305) were stronger correlates of objective MOOC composite scores than Conscientiousness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.057), suggesting that cooperative behaviors and novelty orientation may be especially salient in Chinese collectivistic contexts (cf. [4]; [8]). Bahçekapılı and Karaman [18], in a Turkish distance-education context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[4, 3], with Openness effects declining across the educational trajectory while Conscientiousness effects remain stable; whether this pattern holds in online contexts is unknown. Third, region and cultural context may moderate effects: Mammadov [4] and Chen et al. [8] both reported amplified Conscientiousness and Agreeableness effects in East Asian and other collectivistic samples, and Chen et al. [8]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[19]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scoping review with exploratory quantitative synthesis is, to our knowledge, the first scoping mapping of the association between Big Five personality traits and academic achievement that focuses specifically on online learning environments. Consistent with PRISMA-ScR convention [2], the review is organised around mapping questions and directional priors rather than around hypothesis tests. Three mapping questions are addressed. First (MQ1), how large is the available pooled estimate of the association between each Big Five trait and academic achievement in online learning environments within the mappable evidence base, and how does this estimate compare with published face-to-face benchmarks? Second (MQ2), does the association vary descriptively across learning modality, education level, region, era, outcome type, and personality instrument within the mappable evidence base? Third (MQ3), is the personality-achievement association in online environments fully accounted for by mediating constructs such as self-efficacy and self-regulation, or does it exhibit direct effects beyond these mediators? Because the evidence base is small and the executed search is incomplete relative to the pre-registered information-source plan, all three mapping questions are addressed descriptively rather than as confirmatory tests.</w:t>
      </w:r>
    </w:p>
    <w:p>
      <w:pPr>
        <w:spacing w:line="480" w:lineRule="auto" w:before="0" w:after="0"/>
        <w:ind w:firstLine="720"/>
      </w:pPr>
      <w:r>
        <w:rPr>
          <w:rFonts w:ascii="Times New Roman" w:hAnsi="Times New Roman" w:eastAsia="Times New Roman"/>
          <w:sz w:val="24"/>
        </w:rPr>
        <w:t xml:space="preserve">Five directional priors, pre-specified in the OSF registration (https://osf.io/e5w47/) as hypotheses, are reframed here as mapping priors (MP1 through MP5) that describe expectations against which the mapped evidence can be compared descriptively. Mapping Prior 1 (MP1) states that Conscientiousness is expected to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Mapping Prior 2 (MP2) states that Openness is expected to show the second-strongest positive correlation, potentially stronger than in face-to-face contexts, reflecting the premium placed on self-directed exploration in online environments. Mapping Prior 3 (MP3) states that Agreeableness is expected to show a small positive correlation, potentially weaker than in face-to-face contexts because cooperative group behaviors are less central in asynchronous online environments. Mapping Prior 4 (MP4) states that Neuroticism is expected to show a negative correlation, more pronounced in fully online than in blended modalities, reflecting the isolating and technology-mediated nature of fully online environments. Mapping Prior 5 (MP5) states that Extraversion is expected to show a null or weak negative correlation, with possible facet-level cancellation between sociability (expected negative) and assertiveness (expected positive) components, reflecting the reduced social presence of online environments. Mapping Priors MP2, MP4, and MP5 constitute the modality-specific contribution of this review, as they describe expected modality-related divergences from established patterns observed in face-to-face meta-analyses; the review evaluates the available evidence descriptively against these priors rather than performing formal hypothesis tests.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 to the author's knowledge, the first scoping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scoping review with exploratory quantitative synthesis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Scoping Review with Exploratory Quantitative Synthesis Protocols (PRISMA-P) 2015 statement [20].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[21], and the completed PRISMA-ScR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Scoping reviews are designed to map the available evidence on a topic — including its breadth, conceptual boundaries, methodological characteristics, and gaps — rather than to provide an exhaustive synthesis of every relevant primary study [22, 2]. The information-source plan for the present scoping review was originally pre-registered as a six-database systematic search (PubMed/MEDLINE, PsycINFO, ERIC, Web of Science, Scopus, and ProQuest Dissertations &amp; Theses Global), supplemented by Google Scholar and forward/backward citation snowballing. At execution time, however, three of those databases (PsycINFO, Scopus, Web of Science) and ProQuest Dissertations require institutional subscription access that was not available, and the direct E-utilities, OpenAlex, and Semantic Scholar APIs were blocked by the execution environment's network allowlist. Individual subscriptions to the three subscription-gated providers are not offered by Clarivate, Elsevier, or the American Psychological Association, so the absence of access could not be remedied by personal purchase. The actually executed search therefore consisted of: (a) a targeted web-based search interface equivalent in coverage to Google Scholar, executed April 23, 2026, applying the pre-specified three-concept Boolean strategy split into eight queries; (b) ERIC web search; (c) targeted retrieval from open-access repositories (PubMed Central, Frontiers, MDPI, Open Praxis); and (d) forward and backward citation snowballing from included primary studies and from the eight prior face-to-face Big Five-achievement meta-analyses that constitute the comparison corpus. Reframing the review as a scoping review (in place of a systematic review) is the direct consequence of this information-source gap: the executed search is sufficient to map the visible landscape of online-modality Big Five-achievement work, but is not sufficient to claim exhaustive coverage of the underlying literature, and the review is reported accordingly. The full search log with executed query syntax, dates, and hit counts is deposited on the associated OSF project (02_search component).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[5, 19, 23, 6, 4, 7, 3, 8]. Reference lists of the most directly relevant narrative review [12]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PRISMA-ScR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[24],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[25]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[26],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exploratory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[28]).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[29],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exploratory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[30]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[31]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[32],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exploratory pooling models were re-estimated (a) excluding studies with a risk-of-bias aggregate score below 5; (b) excluding the present author's own prior primary study [1]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highlight w:val="yellow"/>
        </w:rPr>
        <w:t xml:space="preserve">Publication-bias diagnostics were computed per trait using four complementary procedures, and are reported for descriptive purposes only rather than as inferential tests capable of ruling out bias: visual inspection of funnel plots with pseudo-95% confidence bounds; Egger's regression asymmetry test [34]; Peters' regression test adapted for correlation effect sizes; and Duval and Tweedie's [33] trim-and-fill procedure, reported as a descriptive sensitivity check rather than as a point-estimate correction. In addition, p-curve analysis [35] was performed to characterise the evidential value of the statistically significant primary estimates. All four diagnostics and the p-curve analysis are known to be underpowered at the small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of the present exploratory quantitative pool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9–10 per trait, well below the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10–20 typically recommended for Egger and the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30 recommended for trim-and-fill in simulation studies), and non-significant results from any of the diagnostics should not be interpreted as evidence that publication bias is absent. Grey literature—doctoral dissertations and peer-reviewed conference proceedings—was included in the exploratory synthesis to partially mitigate file-drawer bias, while unpublished manuscripts and non-peer-reviewed preprints were excluded for quality reasons; this trade-off is acknowledged as a limitation in the Discussion.</w:t>
      </w:r>
    </w:p>
    <w:p>
      <w:pPr>
        <w:pStyle w:val="Heading2"/>
        <w:spacing w:line="480" w:lineRule="auto" w:before="0" w:after="0"/>
      </w:pPr>
      <w:r>
        <w:t>Completeness-of-Evidence Mapping (adapted from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 re-framed as a completeness-of-evidence mapping for this scoping review — for observational correlational syntheses [36].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exploratory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[8] was identified after the pre-registration was time-stamped but before data extraction was completed; it was added to the Introduction's benchmark corpus rather than to the exploratory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exploratory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[18] to .37 in [13] paper-grade outcome), TIPI-J (</w:t>
      </w:r>
      <w:r>
        <w:rPr>
          <w:rFonts w:ascii="Times New Roman" w:hAnsi="Times New Roman" w:eastAsia="Times New Roman"/>
          <w:i/>
          <w:sz w:val="24"/>
        </w:rPr>
        <w:t>r</w:t>
      </w:r>
      <w:r>
        <w:rPr>
          <w:rFonts w:ascii="Times New Roman" w:hAnsi="Times New Roman" w:eastAsia="Times New Roman"/>
          <w:sz w:val="24"/>
        </w:rPr>
        <w:t xml:space="preserve"> = .144 in [16]), and β-converted studies ([17] and [37]). Consistent with McAbee and Oswald [19],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exploratory quantitative pool, larger samples ([17] </w:t>
      </w:r>
      <w:r>
        <w:rPr>
          <w:rFonts w:ascii="Times New Roman" w:hAnsi="Times New Roman" w:eastAsia="Times New Roman"/>
          <w:i/>
          <w:sz w:val="24"/>
        </w:rPr>
        <w:t>N</w:t>
      </w:r>
      <w:r>
        <w:rPr>
          <w:rFonts w:ascii="Times New Roman" w:hAnsi="Times New Roman" w:eastAsia="Times New Roman"/>
          <w:sz w:val="24"/>
        </w:rPr>
        <w:t xml:space="preserve"> = 1,152; [18] </w:t>
      </w:r>
      <w:r>
        <w:rPr>
          <w:rFonts w:ascii="Times New Roman" w:hAnsi="Times New Roman" w:eastAsia="Times New Roman"/>
          <w:i/>
          <w:sz w:val="24"/>
        </w:rPr>
        <w:t>N</w:t>
      </w:r>
      <w:r>
        <w:rPr>
          <w:rFonts w:ascii="Times New Roman" w:hAnsi="Times New Roman" w:eastAsia="Times New Roman"/>
          <w:sz w:val="24"/>
        </w:rPr>
        <w:t xml:space="preserve"> = 525; [37] </w:t>
      </w:r>
      <w:r>
        <w:rPr>
          <w:rFonts w:ascii="Times New Roman" w:hAnsi="Times New Roman" w:eastAsia="Times New Roman"/>
          <w:i/>
          <w:sz w:val="24"/>
        </w:rPr>
        <w:t>N</w:t>
      </w:r>
      <w:r>
        <w:rPr>
          <w:rFonts w:ascii="Times New Roman" w:hAnsi="Times New Roman" w:eastAsia="Times New Roman"/>
          <w:sz w:val="24"/>
        </w:rPr>
        <w:t xml:space="preserve"> = 413; [38] </w:t>
      </w:r>
      <w:r>
        <w:rPr>
          <w:rFonts w:ascii="Times New Roman" w:hAnsi="Times New Roman" w:eastAsia="Times New Roman"/>
          <w:i/>
          <w:sz w:val="24"/>
        </w:rPr>
        <w:t>N</w:t>
      </w:r>
      <w:r>
        <w:rPr>
          <w:rFonts w:ascii="Times New Roman" w:hAnsi="Times New Roman" w:eastAsia="Times New Roman"/>
          <w:sz w:val="24"/>
        </w:rPr>
        <w:t xml:space="preserve"> = 301; [39] </w:t>
      </w:r>
      <w:r>
        <w:rPr>
          <w:rFonts w:ascii="Times New Roman" w:hAnsi="Times New Roman" w:eastAsia="Times New Roman"/>
          <w:i/>
          <w:sz w:val="24"/>
        </w:rPr>
        <w:t>N</w:t>
      </w:r>
      <w:r>
        <w:rPr>
          <w:rFonts w:ascii="Times New Roman" w:hAnsi="Times New Roman" w:eastAsia="Times New Roman"/>
          <w:sz w:val="24"/>
        </w:rPr>
        <w:t xml:space="preserve"> = 282; [15] </w:t>
      </w:r>
      <w:r>
        <w:rPr>
          <w:rFonts w:ascii="Times New Roman" w:hAnsi="Times New Roman" w:eastAsia="Times New Roman"/>
          <w:i/>
          <w:sz w:val="24"/>
        </w:rPr>
        <w:t>N</w:t>
      </w:r>
      <w:r>
        <w:rPr>
          <w:rFonts w:ascii="Times New Roman" w:hAnsi="Times New Roman" w:eastAsia="Times New Roman"/>
          <w:sz w:val="24"/>
        </w:rPr>
        <w:t xml:space="preserve"> = 260; Alkış &amp; Taşkaya [14]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([13] </w:t>
      </w:r>
      <w:r>
        <w:rPr>
          <w:rFonts w:ascii="Times New Roman" w:hAnsi="Times New Roman" w:eastAsia="Times New Roman"/>
          <w:i/>
          <w:sz w:val="24"/>
        </w:rPr>
        <w:t>N</w:t>
      </w:r>
      <w:r>
        <w:rPr>
          <w:rFonts w:ascii="Times New Roman" w:hAnsi="Times New Roman" w:eastAsia="Times New Roman"/>
          <w:sz w:val="24"/>
        </w:rPr>
        <w:t xml:space="preserve"> = 92; [40]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[41]; general learning-engagement scale not online-specific) and one (A-02 Alkış &amp; Taşkaya [14])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[1]; A-26 [42]), with an additional K-12 record (A-10 [43])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exploratory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quantitative analyses were performed in Python (version ≥ 3.11) using the scientific Python stack as the primary engine for random-effects meta-analysis, mixed-effects meta-regression, and heterogeneity diagnostics: NumPy and SciPy for numerical primitives (REML </w:t>
      </w:r>
      <w:r>
        <w:rPr>
          <w:rFonts w:ascii="Times New Roman" w:hAnsi="Times New Roman" w:eastAsia="Times New Roman"/>
          <w:i/>
          <w:sz w:val="24"/>
        </w:rPr>
        <w:t>τ²</w:t>
      </w:r>
      <w:r>
        <w:rPr>
          <w:rFonts w:ascii="Times New Roman" w:hAnsi="Times New Roman" w:eastAsia="Times New Roman"/>
          <w:sz w:val="24"/>
        </w:rPr>
        <w:t xml:space="preserve"> estimation, Fisher-z transformations, Hartung-Knapp-Sidik-Jonkman confidence-interval adjustment, Q-statistic and </w:t>
      </w:r>
      <w:r>
        <w:rPr>
          <w:rFonts w:ascii="Times New Roman" w:hAnsi="Times New Roman" w:eastAsia="Times New Roman"/>
          <w:i/>
          <w:sz w:val="24"/>
        </w:rPr>
        <w:t>I²</w:t>
      </w:r>
      <w:r>
        <w:rPr>
          <w:rFonts w:ascii="Times New Roman" w:hAnsi="Times New Roman" w:eastAsia="Times New Roman"/>
          <w:sz w:val="24"/>
        </w:rPr>
        <w:t xml:space="preserve"> computation, prediction-interval calculation), pandas for the extraction-CSV data layer, statsmodels for ancillary regression and trim-and-fill calculations, and Matplotlib for forest, funnel, and bubble plots. The clubSandwich approach to cluster-robust variance estimation [45, 29] was re-implemented in Python following the published mathematical specification rather than via the R package, and was validated against the canonical Harrer et al. [44] worked examples. All analysis code, the deposited extraction CSV, and pinned package versions (uv.lock) are deposited on the associated OSF project (https://doi.org/10.17605/OSF.IO/79M5J), specifically in the 06_analysis component (https://doi.org/10.17605/OSF.IO/Q4XKB), and are mirrored at https://github.com/etoki/paper for version control. Any interested researcher can reproduce every analytic step reported in this paper from the deposited extraction CSV and the Python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PRISMA-ScR-style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[18]; A-30 [37]; A-31 [16]; A-37 [39]) were added, for a total of 31 primary studies catalogued in this review (Table 1). Of these 31 catalogued records, 25 were retained for qualitative synthesis (10 contributing direct or β-converted Pearson correlations to the exploratory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exploratory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[17] and A-30 [37]), and one was flagged as a conflict-of-interest study because it is the present author's own prior primary research (A-25 [1]; Tokiwa is in the scoping-retained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exploratory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[40] to 1,625 [42],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exploratory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Tokiwa, A-26 Wang), undergraduate (15 studies), mixed undergraduate/graduate (5 studies: A-08, A-18, A-20, A-28, A-30), graduate only (2 studies: A-07 [46]; A-37 [39]), and mixed secondary/post-secondary (1 study: A-11 [11]). Regional distribution, important for the pre-registered Asian-amplification moderator analysis, was Asia (12 studies; includes East Asian and Middle Eastern samples), Europe (7 studies), and North America (6 studies); within the exploratory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[49]), the Ten-Item Personality Inventory (TIPI, TIPI-J; 2 studies: A-31 Rivers, A-37 Zheng &amp; Zheng), and other validated Big Five–aligned scales (Sahinidis and Tsaknis's [47] 30-item custom scale, Chinese-language Big Five scales of A-20 Mustafa et al. [48] and A-26 Wang et al. [42], and McCrae's 40-item scale used in A-28 Yu; 4 studies in total). Achievement outcomes in the 10-study exploratory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exploratory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[15]) or objective LMS-log outcome measurement (A-28 [17]; A-31 [16]). Intra-rater reliability for risk-of-bias assessment, estimated on a 20% subsample, met the pre-specified threshold of κ ≥ 0.80.</w:t>
      </w:r>
    </w:p>
    <w:p>
      <w:pPr>
        <w:pStyle w:val="Heading2"/>
        <w:spacing w:line="480" w:lineRule="auto" w:before="0" w:after="0"/>
      </w:pPr>
      <w:r>
        <w:t>Exploratory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consistent with Mapping Prior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consistent with the descriptive direction of MP1,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[5], McAbee and Oswald [19], Vedel [23], Mammadov [4], Meyer et al. [3], and Chen et al. [8].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correlated with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highlight w:val="yellow"/>
        </w:rPr>
        <w:t xml:space="preserve">Extraversion and online academic achievement. Across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9 studies (total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 3,363), the pooled correlation was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.002 (95% CI [−.076, .080]). This null estimate supports Mapping Prior 5 (MP5), which expected a null or weak negative Extraversion–achievement association in online environments. Notably, the direct negative effect reported by Rivers (2021;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−.168) and the MOOC finding of Yu (2021; standardized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−.076) contributed to pulling the pooled estimate toward zero from the otherwise mixed face-to-face pattern. Heterogeneity was moderate-to-high (Q(8) = 32.66,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&lt; .001; </w:t>
      </w:r>
      <w:r>
        <w:rPr>
          <w:rFonts w:ascii="Times New Roman" w:hAnsi="Times New Roman" w:eastAsia="Times New Roman"/>
          <w:i/>
          <w:sz w:val="24"/>
          <w:highlight w:val="yellow"/>
        </w:rPr>
        <w:t>I²</w:t>
      </w:r>
      <w:r>
        <w:rPr>
          <w:rFonts w:ascii="Times New Roman" w:hAnsi="Times New Roman" w:eastAsia="Times New Roman"/>
          <w:sz w:val="24"/>
          <w:highlight w:val="yellow"/>
        </w:rPr>
        <w:t xml:space="preserve"> = 75.5%; </w:t>
      </w:r>
      <w:r>
        <w:rPr>
          <w:rFonts w:ascii="Times New Roman" w:hAnsi="Times New Roman" w:eastAsia="Times New Roman"/>
          <w:i/>
          <w:sz w:val="24"/>
          <w:highlight w:val="yellow"/>
        </w:rPr>
        <w:t>τ²</w:t>
      </w:r>
      <w:r>
        <w:rPr>
          <w:rFonts w:ascii="Times New Roman" w:hAnsi="Times New Roman" w:eastAsia="Times New Roman"/>
          <w:sz w:val="24"/>
          <w:highlight w:val="yellow"/>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[5, 23, 8], contrary to Mapping Prior 3 (MP3), which correlated with a weaker Agreeableness effect in online than in face-to-face contexts. Within the exploratory pool the largest Agreeableness contribution came from a single Chinese MOOC sample (A-28 [17];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exploratory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highlight w:val="yellow"/>
        </w:rPr>
        <w:t xml:space="preserve">Neuroticism and online academic achievement. Across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10 studies (total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 3,384), the pooled correlation was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.018 (95% CI [−.079, .114]). The direction was null and the magnitude was substantially weaker than the direction of Mapping Prior 4 (MP4), which expected a negative effect more pronounced in fully online than in blended modalities; MP4 was not consistent with the evidence in the primary analysis. Heterogeneity was moderate-to-high (Q(9) = 42.76,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&lt; .001; </w:t>
      </w:r>
      <w:r>
        <w:rPr>
          <w:rFonts w:ascii="Times New Roman" w:hAnsi="Times New Roman" w:eastAsia="Times New Roman"/>
          <w:i/>
          <w:sz w:val="24"/>
          <w:highlight w:val="yellow"/>
        </w:rPr>
        <w:t>I²</w:t>
      </w:r>
      <w:r>
        <w:rPr>
          <w:rFonts w:ascii="Times New Roman" w:hAnsi="Times New Roman" w:eastAsia="Times New Roman"/>
          <w:sz w:val="24"/>
          <w:highlight w:val="yellow"/>
        </w:rPr>
        <w:t xml:space="preserve"> = 79.0%; </w:t>
      </w:r>
      <w:r>
        <w:rPr>
          <w:rFonts w:ascii="Times New Roman" w:hAnsi="Times New Roman" w:eastAsia="Times New Roman"/>
          <w:i/>
          <w:sz w:val="24"/>
          <w:highlight w:val="yellow"/>
        </w:rPr>
        <w:t>τ²</w:t>
      </w:r>
      <w:r>
        <w:rPr>
          <w:rFonts w:ascii="Times New Roman" w:hAnsi="Times New Roman" w:eastAsia="Times New Roman"/>
          <w:sz w:val="24"/>
          <w:highlight w:val="yellow"/>
        </w:rPr>
        <w:t xml:space="preserve"> = .010). Within the 10-study primary Neuroticism pool, signs were mixed: Rodrigues et al. [15] reported a negative direct association with sign-flipped GPA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−.142), and Bahçekapılı and Karaman [18] likewise reported a negative direct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(−.072), whereas the two β-converted contributions ([17] weakly positive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.037; [37]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−.542 with general satisfaction; secondary-outcome study, not in the exploratory pool). The β-excluded sensitivity analysis (see below) reduced the pooled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estimate to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−.043, partially consistent with MP4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[4, 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[4] and Chen et al. [8]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[8]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exploratory quantitative pool (the 4 post-COVID studies in the scoping-synthesis retained set — A-13 [41]; A-17 [50]; A-25 [1]; A-26 [42]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highlight w:val="yellow"/>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[1] did not change the pooled estimates at all (|Δr| &lt; .001 for every trait), because the author's study did not contribute zero-order correlations to the exploratory pool. Third, excluding studies whose effect sizes had been Peterson-Brown-converted from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to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produced larger changes, particularly for Neuroticism (pooled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shifted from .018 to −.043, |Δr| = .061) and Openness (|Δr| = .055), both of which moved in the direction hypothesised in Mapping Priors 4 and 2, respectively. This pattern suggests that the β-converted studies systematically attenuate trait effects and should be interpreted cautiously. Fourth, the leave-one-out analysis (Table S3) identified Yu [17] as the single most influential study for both the Agreeableness pool (removal shifted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from .112 to .038, |Δr| = .074) and the Extraversion pool (removal shifted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rPr>
          <w:highlight w:val="yellow"/>
        </w:rPr>
        <w:t>Publication-Bias Diagnostics (descriptive only)</w:t>
      </w:r>
    </w:p>
    <w:p>
      <w:pPr>
        <w:spacing w:line="480" w:lineRule="auto" w:before="0" w:after="0"/>
        <w:ind w:firstLine="720"/>
      </w:pPr>
      <w:r>
        <w:rPr>
          <w:rFonts w:ascii="Times New Roman" w:hAnsi="Times New Roman" w:eastAsia="Times New Roman"/>
          <w:sz w:val="24"/>
          <w:highlight w:val="yellow"/>
        </w:rPr>
        <w:t xml:space="preserve">The results in this subsection are reported for descriptive purposes only. All of the publication-bias diagnostics used here — funnel-plot inspection, Egger's regression, Peters' regression, and trim-and-fill — are known to be underpowered at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9–10 per trait, and none of them can rule out publication bias at this evidence-base size. A non-significant Egger's or Peters' test result should therefore not be interpreted as evidence that bias is absent, and the trim-and-fill imputed studies below should not be interpreted as bias-corrected effect estimates.</w:t>
      </w:r>
    </w:p>
    <w:p>
      <w:pPr>
        <w:spacing w:line="480" w:lineRule="auto" w:before="0" w:after="0"/>
        <w:ind w:firstLine="720"/>
      </w:pPr>
      <w:r>
        <w:rPr>
          <w:rFonts w:ascii="Times New Roman" w:hAnsi="Times New Roman" w:eastAsia="Times New Roman"/>
          <w:sz w:val="24"/>
          <w:highlight w:val="yellow"/>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 .045) and approached significance for Agreeableness (intercept = −8.53, SE = 4.03, t(7) = −2.12,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 .072). For the remaining traits the test was not significant (Conscientiousness intercept = 2.14,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 .094; Extraversion intercept = 2.29,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 .255; Neuroticism intercept = −1.79,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 .304). As emphasised in the descriptive-only caveat above, these non-significant results should not be interpreted as evidence that publication bias is absent — Egger's test has very low statistical power at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9–10, and small-study positive bias for Conscientiousness in particular cannot be ruled out on the basis of the reported diagnostics.</w:t>
      </w:r>
    </w:p>
    <w:p>
      <w:pPr>
        <w:spacing w:line="480" w:lineRule="auto" w:before="0" w:after="0"/>
        <w:ind w:firstLine="720"/>
      </w:pPr>
      <w:r>
        <w:rPr>
          <w:rFonts w:ascii="Times New Roman" w:hAnsi="Times New Roman" w:eastAsia="Times New Roman"/>
          <w:sz w:val="24"/>
        </w:rPr>
        <w:t xml:space="preserve">Duval and Tweedie's [33]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Mapping Prior 5, further supporting the hypothesis when asymmetry is considered. Trim-and-fill adjusted estimates are reported as a sensitivity check only and do not replace the exploratory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Completeness-of-Evidence Summary</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MP5,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highlight w:val="yellow"/>
        </w:rPr>
        <w:t xml:space="preserve">The present scoping review with exploratory quantitative synthesis provides , to the author's knowledge,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exploratory achievement pool (total pooled </w:t>
      </w:r>
      <w:r>
        <w:rPr>
          <w:rFonts w:ascii="Times New Roman" w:hAnsi="Times New Roman" w:eastAsia="Times New Roman"/>
          <w:i/>
          <w:sz w:val="24"/>
          <w:highlight w:val="yellow"/>
        </w:rPr>
        <w:t>N</w:t>
      </w:r>
      <w:r>
        <w:rPr>
          <w:rFonts w:ascii="Times New Roman" w:hAnsi="Times New Roman" w:eastAsia="Times New Roman"/>
          <w:sz w:val="24"/>
          <w:highlight w:val="yellow"/>
        </w:rPr>
        <w:t xml:space="preserve"> = 3,384), the pooled correlation between Conscientiousness and online academic achievement was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.167 (95% CI [.089, .243]). Comparable estimates were obtained for Openness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.086 [−.044, .214]), Agreeableness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.112 [−.031, .250]), Neuroticism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.018 [−.079, .114]), and Extraversion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.002 [−.076, .080]). The pattern of pooled effects was partially consistent with established face-to-face benchmarks—Conscientiousness emerged as the strongest positive correlate, and Extraversion as null—but diverged in two important respects: the Conscientiousness magnitude was somewhat lower than face-to-face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of .20–.28, and Agreeableness showed a slightly larger effect than in face-to-face samples, driven primarily by a single influential Chinese MOOC sample [17] within the exploratory pool, with convergent narrative evidence from East Asian [42] and Israeli [51] secondary-outcome studies. Two pre-registered moderator effects were highly significant: Extraversion × Region (</w:t>
      </w:r>
      <w:r>
        <w:rPr>
          <w:rFonts w:ascii="Times New Roman" w:hAnsi="Times New Roman" w:eastAsia="Times New Roman"/>
          <w:i/>
          <w:sz w:val="24"/>
          <w:highlight w:val="yellow"/>
        </w:rPr>
        <w:t>Q_between</w:t>
      </w:r>
      <w:r>
        <w:rPr>
          <w:rFonts w:ascii="Times New Roman" w:hAnsi="Times New Roman" w:eastAsia="Times New Roman"/>
          <w:sz w:val="24"/>
          <w:highlight w:val="yellow"/>
        </w:rPr>
        <w:t xml:space="preserve"> = 46.43,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&lt; .001), with Asian samples showing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−.131 vs. non-Asian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.050, and Extraversion × Outcome Type (</w:t>
      </w:r>
      <w:r>
        <w:rPr>
          <w:rFonts w:ascii="Times New Roman" w:hAnsi="Times New Roman" w:eastAsia="Times New Roman"/>
          <w:i/>
          <w:sz w:val="24"/>
          <w:highlight w:val="yellow"/>
        </w:rPr>
        <w:t>Q_between</w:t>
      </w:r>
      <w:r>
        <w:rPr>
          <w:rFonts w:ascii="Times New Roman" w:hAnsi="Times New Roman" w:eastAsia="Times New Roman"/>
          <w:sz w:val="24"/>
          <w:highlight w:val="yellow"/>
        </w:rPr>
        <w:t xml:space="preserve"> = 17.30,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&lt; .001), with objective outcomes showing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−.038 vs. self-rated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highlight w:val="yellow"/>
        </w:rPr>
        <w:t xml:space="preserve">Mapping Prior 1 (Conscientiousness as strongest positive correlate). The pooled Conscientiousness–achievement correlation of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MP1 is judged partially supported. The magnitude of the C effect in online environments was slightly smaller than face-to-face benchmarks reported by Poropat (2009;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.22), McAbee and Oswald (2013;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.26), Vedel (2014;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.26), Mammadov (2022;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.27), and Chen et al. (2025;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.206), a pattern directionally consistent with the theoretical expectation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highlight w:val="yellow"/>
        </w:rPr>
        <w:t>Mapping Prior 2 (Openness as second-strongest positive correlate). The pooled Openness–achievement correlation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.086) was the third-largest positive effect in the present synthesis, surpassed by both Conscientiousness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.167) and Agreeableness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.112). The 95% confidence interval crossed zero, and the estimate was comparable to the face-to-face benchmark of Mammadov (2022;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.16) but substantially below the K-12 estimate of Meyer et al. (2023;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.21). MP2 is not supported. The expectation that online environments would amplify the Openness effect through a premium on self-directed exploration was not borne out; the failure to support MP2 may partly reflect the near-universal use of undergraduate rather than K-12 samples in the online corpus, since Openness effects are known to decline with educational level [4, 3].</w:t>
      </w:r>
    </w:p>
    <w:p>
      <w:pPr>
        <w:spacing w:line="480" w:lineRule="auto" w:before="0" w:after="0"/>
        <w:ind w:firstLine="720"/>
      </w:pPr>
      <w:r>
        <w:rPr>
          <w:rFonts w:ascii="Times New Roman" w:hAnsi="Times New Roman" w:eastAsia="Times New Roman"/>
          <w:sz w:val="24"/>
        </w:rPr>
        <w:t xml:space="preserve">Mapping Prior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[5, 23, 8]. H3, which correlated with a weaker rather than stronger effect, is therefore not supported. Within the 9-study primary Agreeableness pool, the pooled estimate is driven principally by a single influential Chinese MOOC sample (A-28 [17];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exploratory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exploratory pool). These directional findings converge with Mammadov's [4] Asian-sample amplification pattern and with Chen et al.'s [8]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highlight w:val="yellow"/>
        </w:rPr>
        <w:t xml:space="preserve">Mapping Prior 4 (Neuroticism as negative, more pronounced in fully online). The pooled Neuroticism–achievement correlation was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.018, approximately null. The first component of MP4 — an overall negative pooled effect — is not supported by the primary analysis. The second component of MP4 — a more pronounced negative effect in fully online than in blended modalities — could not be evaluated quantitatively because only one study (A-02 Alkış &amp; Taşkaya [14])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shifted the pooled Neuroticism estimate to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−.043, providing partial directional support for the direction of MP4 under the stricter analytic specification. The discrepancy between the primary and sensitivity analyses suggests that Peterson-Brown-converted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studies (principally [17] and [37]) systematically attenuate the Neuroticism effect, potentially because these studies control for multiple covariates in the </w:t>
      </w:r>
      <w:r>
        <w:rPr>
          <w:rFonts w:ascii="Times New Roman" w:hAnsi="Times New Roman" w:eastAsia="Times New Roman"/>
          <w:i/>
          <w:sz w:val="24"/>
          <w:highlight w:val="yellow"/>
        </w:rPr>
        <w:t>β</w:t>
      </w:r>
      <w:r>
        <w:rPr>
          <w:rFonts w:ascii="Times New Roman" w:hAnsi="Times New Roman" w:eastAsia="Times New Roman"/>
          <w:sz w:val="24"/>
          <w:highlight w:val="yellow"/>
        </w:rPr>
        <w:t xml:space="preserve"> coefficients, diluting the zero-order Neuroticism-outcome association.</w:t>
      </w:r>
    </w:p>
    <w:p>
      <w:pPr>
        <w:spacing w:line="480" w:lineRule="auto" w:before="0" w:after="0"/>
        <w:ind w:firstLine="720"/>
      </w:pPr>
      <w:r>
        <w:rPr>
          <w:rFonts w:ascii="Times New Roman" w:hAnsi="Times New Roman" w:eastAsia="Times New Roman"/>
          <w:sz w:val="24"/>
          <w:highlight w:val="yellow"/>
        </w:rPr>
        <w:t xml:space="preserve">Mapping Prior 5 (Extraversion as null or weak negative). The pooled Extraversion–achievement correlation was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.002, consistent with the MP5 expectation of a null overall estimate. The overall MP5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−.131 (95% CI [−.314, .061]; </w:t>
      </w:r>
      <w:r>
        <w:rPr>
          <w:rFonts w:ascii="Times New Roman" w:hAnsi="Times New Roman" w:eastAsia="Times New Roman"/>
          <w:i/>
          <w:sz w:val="24"/>
          <w:highlight w:val="yellow"/>
        </w:rPr>
        <w:t>Q_between</w:t>
      </w:r>
      <w:r>
        <w:rPr>
          <w:rFonts w:ascii="Times New Roman" w:hAnsi="Times New Roman" w:eastAsia="Times New Roman"/>
          <w:sz w:val="24"/>
          <w:highlight w:val="yellow"/>
        </w:rPr>
        <w:t xml:space="preserve"> = 46.43,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&lt; .001), and in objective achievement outcomes the pooled effect was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−.038 (</w:t>
      </w:r>
      <w:r>
        <w:rPr>
          <w:rFonts w:ascii="Times New Roman" w:hAnsi="Times New Roman" w:eastAsia="Times New Roman"/>
          <w:i/>
          <w:sz w:val="24"/>
          <w:highlight w:val="yellow"/>
        </w:rPr>
        <w:t>Q_between</w:t>
      </w:r>
      <w:r>
        <w:rPr>
          <w:rFonts w:ascii="Times New Roman" w:hAnsi="Times New Roman" w:eastAsia="Times New Roman"/>
          <w:sz w:val="24"/>
          <w:highlight w:val="yellow"/>
        </w:rPr>
        <w:t xml:space="preserve"> = 17.30,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&lt; .001 against self-rated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.117). These moderator findings represent , to the author's knowledge, the first meta-analytic evidence for a directional shift in the Extraversion effect attributable to (a) cultural context and (b) outcome operationalization in online learning environments, extending the near-null face-to-face estimate [5, 8] toward a culturally and methodologically structured pattern of divergence. Whether these contextual shifts reflect the MP5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highlight w:val="yellow"/>
        </w:rPr>
        <w:t>The present findings carry several theoretical implications for the personality-achievement literature. First, the slightly reduced Conscientiousness association in online environments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.167 vs. face-to-face </w:t>
      </w:r>
      <w:r>
        <w:rPr>
          <w:rFonts w:ascii="Times New Roman" w:hAnsi="Times New Roman" w:eastAsia="Times New Roman"/>
          <w:i/>
          <w:sz w:val="24"/>
          <w:highlight w:val="yellow"/>
        </w:rPr>
        <w:t>ρ</w:t>
      </w:r>
      <w:r>
        <w:rPr>
          <w:rFonts w:ascii="Times New Roman" w:hAnsi="Times New Roman" w:eastAsia="Times New Roman"/>
          <w:sz w:val="24"/>
          <w:highlight w:val="yellow"/>
        </w:rPr>
        <w:t xml:space="preserve"> = .19–.28) is directionally consistent with the Personality-Achievement Saturation Hypothesis (PASH; [3]), which posits that Conscientiousness is channeled into academic outcomes through behavioral signals visible to graders. In online environments with automated grading, reduced teacher observation, and fewer opportunities for classroom-level behavioral indicators, the PASH framework implies a weakened Conscientiousness estimate; the present exploratory meta-analytic estimate is consistent with this expectation, though the magnitude of attenuation (Δr ≈ .04–.10 depending on benchmark) is at or near the replicability threshold documented by Zell and Lesick [7] for second-order meta-analyses. Trait Activation Theory [9] offers a complementary account of the same descriptive pattern: the structured-task situational cues that activate conscientious study behaviour — deadlines, assessments, syllabus milestones — are preserved in online formats, which under TAT would imply relative preservation of the Conscientiousness association across modalities, whereas the interpersonal-observation cues emphasised by PASH are reduced online, which under PASH would imply attenuation. The descriptive pattern in the exploratory pool (preserved but attenuated Conscientiousness association) is directionally consistent with both accounts, and larger future syntheses will be needed to discriminate between them. The present extension of PASH to online-modality contexts is the present author's proposal and is not part of the original PASH formulation of Meyer et al. [3].</w:t>
      </w:r>
    </w:p>
    <w:p>
      <w:pPr>
        <w:spacing w:line="480" w:lineRule="auto" w:before="0" w:after="0"/>
        <w:ind w:firstLine="720"/>
      </w:pPr>
      <w:r>
        <w:rPr>
          <w:rFonts w:ascii="Times New Roman" w:hAnsi="Times New Roman" w:eastAsia="Times New Roman"/>
          <w:sz w:val="24"/>
          <w:highlight w:val="yellow"/>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−.131 vs. non-Asia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.050; </w:t>
      </w:r>
      <w:r>
        <w:rPr>
          <w:rFonts w:ascii="Times New Roman" w:hAnsi="Times New Roman" w:eastAsia="Times New Roman"/>
          <w:i/>
          <w:sz w:val="24"/>
          <w:highlight w:val="yellow"/>
        </w:rPr>
        <w:t>Q_between</w:t>
      </w:r>
      <w:r>
        <w:rPr>
          <w:rFonts w:ascii="Times New Roman" w:hAnsi="Times New Roman" w:eastAsia="Times New Roman"/>
          <w:sz w:val="24"/>
          <w:highlight w:val="yellow"/>
        </w:rPr>
        <w:t xml:space="preserve">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&lt; .001) and the Outcome-Type × Extraversion subgroup contrast (objective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−.038 vs. self-rated </w:t>
      </w:r>
      <w:r>
        <w:rPr>
          <w:rFonts w:ascii="Times New Roman" w:hAnsi="Times New Roman" w:eastAsia="Times New Roman"/>
          <w:i/>
          <w:sz w:val="24"/>
          <w:highlight w:val="yellow"/>
        </w:rPr>
        <w:t>r</w:t>
      </w:r>
      <w:r>
        <w:rPr>
          <w:rFonts w:ascii="Times New Roman" w:hAnsi="Times New Roman" w:eastAsia="Times New Roman"/>
          <w:sz w:val="24"/>
          <w:highlight w:val="yellow"/>
        </w:rPr>
        <w:t xml:space="preserve"> = .117; </w:t>
      </w:r>
      <w:r>
        <w:rPr>
          <w:rFonts w:ascii="Times New Roman" w:hAnsi="Times New Roman" w:eastAsia="Times New Roman"/>
          <w:i/>
          <w:sz w:val="24"/>
          <w:highlight w:val="yellow"/>
        </w:rPr>
        <w:t>Q_between</w:t>
      </w:r>
      <w:r>
        <w:rPr>
          <w:rFonts w:ascii="Times New Roman" w:hAnsi="Times New Roman" w:eastAsia="Times New Roman"/>
          <w:sz w:val="24"/>
          <w:highlight w:val="yellow"/>
        </w:rPr>
        <w:t xml:space="preserve"> </w:t>
      </w:r>
      <w:r>
        <w:rPr>
          <w:rFonts w:ascii="Times New Roman" w:hAnsi="Times New Roman" w:eastAsia="Times New Roman"/>
          <w:i/>
          <w:sz w:val="24"/>
          <w:highlight w:val="yellow"/>
        </w:rPr>
        <w:t>p</w:t>
      </w:r>
      <w:r>
        <w:rPr>
          <w:rFonts w:ascii="Times New Roman" w:hAnsi="Times New Roman" w:eastAsia="Times New Roman"/>
          <w:sz w:val="24"/>
          <w:highlight w:val="yellow"/>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Extraversion–achievement associations at the tertiary level [8, 5], with the few modest positive effects concentrated in elementary/middle school contexts where classroom participation is more salient [4].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[52], but cannot by itself be taken as evidence for either model. Under Trait Activation Theory [9], the descriptive Region contrast is broadly consistent with the expectation that the social and participatory situational cues that activate extraverted engagement (classroom-style discussion, spontaneous peer interaction) are more attenuated in asynchronous online formats in cultural contexts where classroom discussion is less normative to begin with; and the descriptive Outcome-Type contrast is consistent with the TAT-adjacent expectation that self-report situations activate self-presentation cues for extraverts more strongly than objective testing situations do. As emphasised above, TAT is used here to organise the descriptive pattern rather than as a confirmatory test.</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[4] and Chen et al. [8],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[17]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exploratory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rPr>
          <w:highlight w:val="yellow"/>
        </w:rPr>
        <w:t>Hypotheses for Future Practical Testing</w:t>
      </w:r>
    </w:p>
    <w:p>
      <w:pPr>
        <w:spacing w:line="480" w:lineRule="auto" w:before="0" w:after="0"/>
        <w:ind w:firstLine="720"/>
      </w:pPr>
      <w:r>
        <w:rPr>
          <w:rFonts w:ascii="Times New Roman" w:hAnsi="Times New Roman" w:eastAsia="Times New Roman"/>
          <w:sz w:val="24"/>
          <w:highlight w:val="yellow"/>
        </w:rPr>
        <w:t>This subsection lists a small number of hypotheses for future practical testing that follow, directionally, from the mapped evidence. Every item below is framed as a hypothesis that requires empirical validation in independent primary research before being operationalised. The subsection is deliberately not framed as "practical implications" or "recommendations": the exploratory quantitative pool is small (</w:t>
      </w:r>
      <w:r>
        <w:rPr>
          <w:rFonts w:ascii="Times New Roman" w:hAnsi="Times New Roman" w:eastAsia="Times New Roman"/>
          <w:i/>
          <w:sz w:val="24"/>
          <w:highlight w:val="yellow"/>
        </w:rPr>
        <w:t>k</w:t>
      </w:r>
      <w:r>
        <w:rPr>
          <w:rFonts w:ascii="Times New Roman" w:hAnsi="Times New Roman" w:eastAsia="Times New Roman"/>
          <w:sz w:val="24"/>
          <w:highlight w:val="yellow"/>
        </w:rPr>
        <w:t xml:space="preserve"> = 10), heterogeneity is moderate to high for most traits, prediction intervals cross zero for all traits except Conscientiousness, and the subgroup contrasts that motivate the modality-related hypotheses below rest on a very small number of studies per subgroup (in some cases two to three). Practitioners, instructional designers, and educational technology developers should not use the hypotheses below as a basis for design or instructional decisions until each has been tested and supported in adequately powered primary research.</w:t>
      </w:r>
    </w:p>
    <w:p>
      <w:pPr>
        <w:spacing w:line="480" w:lineRule="auto" w:before="0" w:after="0"/>
        <w:ind w:firstLine="720"/>
      </w:pPr>
      <w:r>
        <w:rPr>
          <w:rFonts w:ascii="Times New Roman" w:hAnsi="Times New Roman" w:eastAsia="Times New Roman"/>
          <w:sz w:val="24"/>
          <w:highlight w:val="yellow"/>
        </w:rPr>
        <w:t>Hypothesis for future practical testing (HPT-1). Building on the observation that the Conscientiousness–achievement association is the only estimate in the present synthesis whose 95% prediction interval does not include zero, we hypothesise — for future empirical validation — that online-learning features that scaffold self-regulated learning (structured scheduling tools, progress tracking, deadline reminders, and LMS engagement analytics) are likely to correlate with achievement most strongly among learners who are lower in Conscientiousness. This hypothesis is the least tentative in the present synthesis, but is offered here as a hypothesis for future testing rather than as an actionable design recommendation.</w:t>
      </w:r>
    </w:p>
    <w:p>
      <w:pPr>
        <w:spacing w:line="480" w:lineRule="auto" w:before="0" w:after="0"/>
        <w:ind w:firstLine="720"/>
      </w:pPr>
      <w:r>
        <w:rPr>
          <w:rFonts w:ascii="Times New Roman" w:hAnsi="Times New Roman" w:eastAsia="Times New Roman"/>
          <w:sz w:val="24"/>
          <w:highlight w:val="yellow"/>
        </w:rPr>
        <w:t>Hypothesis for future practical testing (HPT-2). Building on the descriptive Extraversion × Region and Extraversion × Outcome-Type subgroup contrasts — noting that both rest on as few as two studies per subgroup on at least one side and that the "Asian" subset includes Middle Eastern samples whose positioning relative to East Asian collectivism is debated — we hypothesise, for future empirical testing rather than as a design recommendation, that (a) intentional incorporation of synchronous elements in fully asynchronous online courses in collectivistic cultural contexts may partially restore social channels through which extraverted learners express engagement, and (b) self-rated performance metrics in online contexts may be susceptible to extraversion-related self-enhancement bias and should be triangulated with objective indicators. Both sub-hypotheses require validation in adequately powered primary research with fully specified cultural context and matched objective / self-rated outcomes; the English-language restriction of the present review means that a non-trivial fraction of the underlying non-English cultural-context literature was implicitly excluded, which further motivates the future-testing framing rather than any operational use of these sub-hypotheses.</w:t>
      </w:r>
    </w:p>
    <w:p>
      <w:pPr>
        <w:spacing w:line="480" w:lineRule="auto" w:before="0" w:after="0"/>
        <w:ind w:firstLine="720"/>
      </w:pPr>
      <w:r>
        <w:rPr>
          <w:rFonts w:ascii="Times New Roman" w:hAnsi="Times New Roman" w:eastAsia="Times New Roman"/>
          <w:sz w:val="24"/>
          <w:highlight w:val="yellow"/>
        </w:rPr>
        <w:t>Hypothesis for future practical testing (HPT-3). Building on the fragile Agreeableness pooled estimate — driven primarily by a single Chinese MOOC sample [17] and appreciably attenuated in the single-study leave-one-out sensitivity analysis — we hypothesise, only for future empirical testing, that cooperative-learning designs in East Asian online contexts may correlate positively with achievement for high-Agreeableness learners. The estimate on which this hypothesis rests is the most fragile in the present synthesis and this hypothesis should not, by itself, motivate any cooperative-learning design recommendation. Convergent narrative evidence from other East Asian and Israeli studies is directionally consistent but not by itself sufficient to justify practical operationalisation. In parallel, and building on the failure to support an amplified Openness estimate, we tentatively hypothesise that exploration-oriented features of current institutional LMS platforms (novel digital tools, supplementary multimedia, flexible navigation) do not currently correlate with achievement gains for high-Openness learners at a detectable magnitude, possibly reflecting the standardisation of online assessment and the constrained range of exploration afforded by most institutional LMS platforms. Both sub-hypotheses are exploratory and are offered for future empirical testing rather than as actionable guidance.</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exploratory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[17]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scoping mapping of the online learning environments, filling a documented gap in the Big Five–achievement literature acknowledged by eight prior meta-analyses [8, 4, 19, 3, 5, 6, 23, 7] and one narrative review [12].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[26] transformation) is at the lower bound of what is generally considered adequate for robust random-effects estimation [32]. With a exploratory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2020/PRISMA-ScR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[1] was included in the scoping-retained set as a potentially eligible record. A pre-specified sensitivity analysis excluding this study did not alter the pooled estimates (|Δr| &lt; .001 for every trait) because Tokiwa [1] did not contribute extractable zero-order correlations to the exploratory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highlight w:val="yellow"/>
        </w:rPr>
        <w:t>Several directions for future research emerge from the present findings. First, the described Extraversion × modality contrast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[39] within a single institution—are needed to adjudicate whether era-level differences in the personality-achievement association reflect genuine changes in mechanism or sampling artifacts. Fourth, cross-cultural replication with matched online course content and assessment would isolate the cultural-moderator contribution to the Agreeableness estimate. Fifth, mediator analyses probing self-efficacy, self-regulated learning behaviors, and LMS engagement patterns would clarify the hypothesised association pathway between personality and online achievement, extending the Stajkovic et al. [6] path-analytic framework to online contexts.</w:t>
      </w:r>
    </w:p>
    <w:p>
      <w:pPr>
        <w:spacing w:line="480" w:lineRule="auto" w:before="0" w:after="0"/>
        <w:ind w:firstLine="720"/>
      </w:pPr>
      <w:r>
        <w:rPr>
          <w:rFonts w:ascii="Times New Roman" w:hAnsi="Times New Roman" w:eastAsia="Times New Roman"/>
          <w:sz w:val="24"/>
          <w:highlight w:val="yellow"/>
        </w:rPr>
        <w:t>Sixth, and building on a suggestion from the peer-review process, the academic discipline (or discipline group) in which online learning takes place should itself be treated as a candidate moderator in future syntheses. The scoping-retained studies of the present review span a heterogeneous mix of disciplines — including psychology, education, information technology and computing, health sciences, business, and mixed general-education contexts — but the number of studies per discipline is too small (typically one to three per discipline in the exploratory quantitative pool) to support a formal discipline-moderator analysis in the present synthesis. As the online-modality Big Five–achievement literature grows, a future update with a larger corpus should record the discipline of each included study as a first-order extraction field, test whether the Conscientiousness–achievement association differs between quantitatively demanding disciplines (e.g., STEM, computing) and less structured ones (e.g., humanities, general education), and test whether the Extraversion–achievement association differs between discipline groups whose online formats typically involve more or less peer interaction. Discipline should be recorded as an ordinal or categorical variable rather than as free text so that it can be pooled reliably across studies.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exploratory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correlate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[17], and this finding is fragile to the exclusion of that single study; and Neuroticism and Openness effects were essentially null in the exploratory synthesis. The findings are consistent with the Personality-Achievement Saturation Hypothesis [3]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left"/>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1. 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2. Tricco, A. C., Lillie, E., Zarin, W., O'Brien, K. K., Colquhoun, H., Levac, D., Moher, D., Peters, </w:t>
      </w:r>
      <w:r>
        <w:rPr>
          <w:rFonts w:ascii="Times New Roman" w:hAnsi="Times New Roman" w:eastAsia="Times New Roman"/>
          <w:i/>
          <w:sz w:val="24"/>
        </w:rPr>
        <w:t>M</w:t>
      </w:r>
      <w:r>
        <w:rPr>
          <w:rFonts w:ascii="Times New Roman" w:hAnsi="Times New Roman" w:eastAsia="Times New Roman"/>
          <w:sz w:val="24"/>
        </w:rPr>
        <w:t xml:space="preserve">. D. J., Horsley, T., Weeks, L., Hempel, S., Akl, E. A., Chang, C., McGowan, J., Stewart, L., Hartling, L., Aldcroft, A., Wilson, </w:t>
      </w:r>
      <w:r>
        <w:rPr>
          <w:rFonts w:ascii="Times New Roman" w:hAnsi="Times New Roman" w:eastAsia="Times New Roman"/>
          <w:i/>
          <w:sz w:val="24"/>
        </w:rPr>
        <w:t>M</w:t>
      </w:r>
      <w:r>
        <w:rPr>
          <w:rFonts w:ascii="Times New Roman" w:hAnsi="Times New Roman" w:eastAsia="Times New Roman"/>
          <w:sz w:val="24"/>
        </w:rPr>
        <w:t>. G., Garritty, C., … Straus, S. E. (2018). PRISMA Extension for Scoping Reviews (PRISMA-ScR): Checklist and explanation. Annals of Internal Medicine, 169(7), 467–473. https://doi.org/10.7326/M18-0850</w:t>
      </w:r>
    </w:p>
    <w:p>
      <w:pPr>
        <w:spacing w:line="480" w:lineRule="auto" w:before="0" w:after="0"/>
        <w:ind w:left="720" w:hanging="720"/>
      </w:pPr>
      <w:r>
        <w:rPr>
          <w:rFonts w:ascii="Times New Roman" w:hAnsi="Times New Roman" w:eastAsia="Times New Roman"/>
          <w:sz w:val="24"/>
        </w:rPr>
        <w:t xml:space="preserve">3. 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4. 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5. 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6. 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7. 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8. 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9. Tett, R. P., &amp; Burnett, D. D. (2003). A personality trait-based interactionist model of job performance. </w:t>
      </w:r>
      <w:r>
        <w:rPr>
          <w:rFonts w:ascii="Times New Roman" w:hAnsi="Times New Roman" w:eastAsia="Times New Roman"/>
          <w:i/>
          <w:sz w:val="24"/>
        </w:rPr>
        <w:t>Journal of Applied Psychology, 88</w:t>
      </w:r>
      <w:r>
        <w:rPr>
          <w:rFonts w:ascii="Times New Roman" w:hAnsi="Times New Roman" w:eastAsia="Times New Roman"/>
          <w:sz w:val="24"/>
        </w:rPr>
        <w:t>(3), 500–517. https://doi.org/10.1037/0021-9010.88.3.500</w:t>
      </w:r>
    </w:p>
    <w:p>
      <w:pPr>
        <w:spacing w:line="480" w:lineRule="auto" w:before="0" w:after="0"/>
        <w:ind w:left="720" w:hanging="720"/>
      </w:pPr>
      <w:r>
        <w:rPr>
          <w:rFonts w:ascii="Times New Roman" w:hAnsi="Times New Roman" w:eastAsia="Times New Roman"/>
          <w:sz w:val="24"/>
        </w:rPr>
        <w:t xml:space="preserve">10. 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11. 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12. 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13. 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14. 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15. 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16. 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17. 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18. 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19. 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20. 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21. 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22. Munn, Z., Peters, </w:t>
      </w:r>
      <w:r>
        <w:rPr>
          <w:rFonts w:ascii="Times New Roman" w:hAnsi="Times New Roman" w:eastAsia="Times New Roman"/>
          <w:i/>
          <w:sz w:val="24"/>
        </w:rPr>
        <w:t>M</w:t>
      </w:r>
      <w:r>
        <w:rPr>
          <w:rFonts w:ascii="Times New Roman" w:hAnsi="Times New Roman" w:eastAsia="Times New Roman"/>
          <w:sz w:val="24"/>
        </w:rPr>
        <w:t>. D. J., Stern, C., Tufanaru, C., McArthur, A., &amp; Aromataris, E. (2018). Systematic review or scoping review? Guidance for authors when choosing between a systematic or scoping review approach. BMC Medical Research Methodology, 18, 143. https://doi.org/10.1186/s12874-018-0611-x</w:t>
      </w:r>
    </w:p>
    <w:p>
      <w:pPr>
        <w:spacing w:line="480" w:lineRule="auto" w:before="0" w:after="0"/>
        <w:ind w:left="720" w:hanging="720"/>
      </w:pPr>
      <w:r>
        <w:rPr>
          <w:rFonts w:ascii="Times New Roman" w:hAnsi="Times New Roman" w:eastAsia="Times New Roman"/>
          <w:sz w:val="24"/>
        </w:rPr>
        <w:t xml:space="preserve">23. 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24. 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25. 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26. 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27. 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28. 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29. 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30. 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31. 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32. 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33. 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34. 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35. 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36. 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37. 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38. 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39. 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pPr>
        <w:spacing w:line="480" w:lineRule="auto" w:before="0" w:after="0"/>
        <w:ind w:left="720" w:hanging="720"/>
      </w:pPr>
      <w:r>
        <w:rPr>
          <w:rFonts w:ascii="Times New Roman" w:hAnsi="Times New Roman" w:eastAsia="Times New Roman"/>
          <w:sz w:val="24"/>
        </w:rPr>
        <w:t xml:space="preserve">40. 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41. 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42. 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43. 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44. 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45. 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46. 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47. 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48. 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49. 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50. 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51. 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52. 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[13]</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[14]</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[60]</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[58]</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[57]</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[47]</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[46]</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[61]</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[55]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[43]</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[11]</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[51]</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[41]</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[40]</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[56]</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[50]</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[62]</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[49]</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[48]</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[63]</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[38]</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[15]</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[59]</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[1]</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[42]</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[17]</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[18]</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[37]</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[16]</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[39]</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Note. ID = study identifier in the deep-reading-notes ledger (A-XX sequence). N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column groups studies into three tiers: (1) QUANTITATIVE PRIMARY POOL (k = 10) — Inc-pri = included in exploratory achievement pool with direct r; Inc-pri* = included with caveat (β-converted, partial trait coverage, or conditional outcome proxy); Inc (COI) = included with conflict-of-interest flag (author's own prior study, sensitivity analysis excludes). (2) QUALITATIVE / SECONDARY SYNTHESIS (retained for narrative) — Inc-sec = retained in the systematic review for secondary outcomes (satisfaction, engagement, preference, perception) but no extractable r for the exploratory achievement pool. (3) EXCLUDED POST-ELIGIBILITY (documented for PRISMA transparency, NOT in synthesis) — Exc = excluded at eligibility (face-to-face modality, or no extractable effect size); Exc-dup = excluded due to sample overlap with an already-included study; — = PDF could not be retrieved. The 31 catalogued studies decompose as: 10 primary + 15 secondary = 25 retained, plus 6 documented post-eligibility exclusions. RoB = aggregate score on the Joanna Briggs Institute 8-item critical appraisal checklist (0–8; higher = lower risk). A-14 Eilam [53] and A-27 Wu &amp; Yu [54] are omitted from the table because the former was excluded at the modality screening stage (face-to-face) and the latter was not available as a retrievable PDF; both are disclosed in the PRISMA flow (Figure 1).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[.048, .243]</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[−.167, .556]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[−.086, .265]</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[−.637, .715]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[−.115, .039]</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[−.136, .356]</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[−.054, .308]</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[−.862, .881]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[−.097, .080]</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[−.926, .954]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[.105, .298]</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[.111, .252]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[−.117, .178]</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[−.052, .242]</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[−.087, .122]</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[−.088, .093]</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[−.015, .148]</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[−.036, .281]</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[−.126, .040]</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[−.093, .130]</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Note. Δr = change in pooled correlation from the primary analysis. A double dagger (‡) denotes a sensitivity-analysis-induced shift exceeding |Δr| = .05, which is considered potentially influential per the pre-registered threshold. A single dagger (†) denotes a significant Egger test at p &lt; .05. "Exclude Tokiwa (COI)" removes the present author's prior primary study [1]; the zero delta reflects that this study did not contribute a direct r to the exploratory pool. "Exclude β-converted" restricts the pool to studies reporting direct Pearson r or Spearman ρ.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Completeness-of-Evidence Summary: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JBI=5.78)</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JBI=5.80)</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[36]. Five standard domains are evaluated per trait: Risk of Bias (mean JBI aggregate score across studies in the pool; serious if mean &lt; 5), Inconsistency (I² and prediction interval; serious if I² &gt; 50%, very serious if I² &gt; 75%), Indirectness (population, exposure, or outcome indirectness relative to the review question), Imprecision (serious if 95% CI crosses the null or is wider than 2 × MOI of |r| = .10), and Publication Bias (serious if Egger's test is significant at p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k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PRISMA-ScR-style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PRISMA-ScR statement [2] [21]. Records were identified through WebSearch-based formal search (n = 80 from eight structured queries), preliminary informal search yielding a previously curated corpus (n = 28), and citation snowballing combined with open-access repository downloads (n = 12), for a total of 120 records. After deduplication (n = 40 removed), 80 records underwent title and abstract screening, with 25 excluded primarily for wrong population, non-Big-Five personality frameworks, or no online learning component. Of 43 full-text reports sought, 5 were not retrievable (paywall), and 38 were assessed for eligibility. Eleven reports were excluded at the full-text stage with explicit reasons: non-Big-Five framework (n = 5; MBTI, Proactive Personality, TAM, TUE, and other non-FFM operationalization), face-to-face modality (n = 4; A-09 [55]; A-10 [43]; A-14 [53]; A-16 [56]), sample overlap with an already-included study (n = 1; A-05 [57] overlapped with A-04 [58]), and effect size not extractable (n = 1; A-24 [59], lag sequential analysis). The remaining studies, supplemented by four newly identified primary studies (A-29 [18]; A-30 [37]; A-31 [16]; A-37 [39]), yielded 31 primary studies catalogued in this review (Table 1). Of these, 25 were retained for qualitative synthesis, and 10 contributed direct Pearson correlations or β-converted effect sizes to the exploratory quantitative achievement pool (with two studies — A-28 [17] and A-30 [37] — providing β-converted effect sizes via Peterson and Brown's, 2005, approximation). The remaining 15 retained studies contributed only to secondary-outcome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