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Response to Reviewer 1 — Minor-Revision Round</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Heliyon  |  Manuscript ID HELIYON-D-26-02879R1  |  Response date: 14 July 2026</w:t>
      </w:r>
    </w:p>
    <w:p>
      <w:pPr>
        <w:spacing w:before="0" w:after="120" w:line="312" w:lineRule="auto"/>
      </w:pPr>
      <w:r>
        <w:rPr>
          <w:sz w:val="22"/>
        </w:rPr>
        <w:t>I am very grateful to Reviewer 1 for the generous evaluation of the revised manuscript and for confirming that the substantive changes made in the previous revision — the structural reframing to a scoping review under PRISMA-ScR, the addition of Trait Activation Theory alongside the Personality-Achievement Saturation Hypothesis, the reporting of actual intra-rater reliability values and the detailed β-to-r conversion procedures, and the careful contextualisation of the fragile pooled estimates — have resulted in a rigorous and well-calibrated contribution.</w:t>
      </w:r>
    </w:p>
    <w:p>
      <w:pPr>
        <w:spacing w:before="0" w:after="120" w:line="312" w:lineRule="auto"/>
      </w:pPr>
      <w:r>
        <w:rPr>
          <w:sz w:val="22"/>
        </w:rPr>
        <w:t>Reviewer 1 did not raise additional revision requests in this round, so no substantive new changes were made in response to Reviewer 1 specifically. The minor-revision items raised by Reviewer 2 have been addressed in a separate point-by-point response, and the corresponding changes to the manuscript (language audit for residual causal / predictive terminology; explicit descriptive-only framing of the publication-bias diagnostics; explicit inclusion of subject discipline as a candidate moderator in Future Research Directions; further softening of Practical Implications into a "Hypotheses for Future Practical Testing" subsection) are indicated by yellow highlighting in the revised manuscript.</w:t>
      </w:r>
    </w:p>
    <w:p>
      <w:pPr>
        <w:spacing w:before="0" w:after="120" w:line="312" w:lineRule="auto"/>
      </w:pPr>
      <w:r>
        <w:rPr>
          <w:sz w:val="22"/>
        </w:rPr>
        <w:t>Verification note on Trait Activation Theory integration (Comment #3 / #18 of the previous round). The previous response letter reported that Trait Activation Theory (Tett &amp; Burnett, 2003) had been added as a complementary theoretical anchor alongside PASH; on preparing this round of revisions, I audited the manuscript and confirmed — following the same check that Reviewer 2 correctly applied to the subject-discipline moderator addition — that the TAT paragraph was not in fact present in the previously submitted manuscript body, even though it was described in the previous response letter. This has now been remedied. An explicit TAT paragraph has been added to the Introduction alongside the PASH review, articulating three specific TAT-derived expectations for the Big Five in online contexts (Extraversion attenuation in asynchronous formats, Conscientiousness preservation across modalities, and Agreeableness amplification in cooperative cultural contexts). A second TAT reference has been added to the Discussion's Extraversion subsection, and TAT is used alongside PASH in the Discussion's Conscientiousness subsection to distinguish two competing accounts of the preserved-but-attenuated pattern. I apologise for the oversight in the previous round and am grateful for the opportunity to correct it before publication.</w:t>
      </w:r>
    </w:p>
    <w:p>
      <w:pPr>
        <w:spacing w:before="80" w:after="120" w:line="312" w:lineRule="auto"/>
      </w:pPr>
      <w:r>
        <w:rPr>
          <w:sz w:val="22"/>
        </w:rPr>
      </w:r>
    </w:p>
    <w:p>
      <w:pPr>
        <w:spacing w:before="0" w:after="120" w:line="312" w:lineRule="auto"/>
      </w:pPr>
      <w:r>
        <w:rPr>
          <w:sz w:val="22"/>
        </w:rPr>
        <w:t>Thank you again for the careful review across both rounds. I look forward to the editor's final decision.</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