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312" w:lineRule="auto"/>
        <w:jc w:val="center"/>
      </w:pPr>
      <w:r>
        <w:rPr>
          <w:b/>
          <w:sz w:val="28"/>
        </w:rPr>
        <w:t>Point-by-Point Response to Reviewer 2 — Minor-Revision Round</w:t>
      </w:r>
    </w:p>
    <w:p>
      <w:pPr>
        <w:spacing w:before="0" w:after="160" w:line="312" w:lineRule="auto"/>
        <w:jc w:val="center"/>
      </w:pPr>
      <w:r>
        <w:rPr>
          <w:sz w:val="22"/>
        </w:rPr>
        <w:t>Big Five Personality Traits and Academic Achievement in Online Learning Environments: A Scoping Review with Exploratory Quantitative Synthesis</w:t>
      </w:r>
    </w:p>
    <w:p>
      <w:pPr>
        <w:spacing w:before="0" w:after="360" w:line="312" w:lineRule="auto"/>
        <w:jc w:val="center"/>
      </w:pPr>
      <w:r>
        <w:rPr>
          <w:sz w:val="20"/>
        </w:rPr>
        <w:t>Heliyon  |  Manuscript ID HELIYON-D-26-02879R1  |  Response date: 14 July 2026</w:t>
      </w:r>
    </w:p>
    <w:p>
      <w:pPr>
        <w:spacing w:before="0" w:after="120" w:line="312" w:lineRule="auto"/>
      </w:pPr>
      <w:r>
        <w:rPr>
          <w:sz w:val="22"/>
        </w:rPr>
        <w:t>I am grateful to Reviewer 2 for a second thoughtful review and for the four specific minor-revision items raised in this round. Each item is addressed in turn below. Corresponding changes to the manuscript are indicated by yellow highlighting in the revised file.</w:t>
      </w:r>
    </w:p>
    <w:p>
      <w:pPr>
        <w:spacing w:before="200" w:after="120" w:line="312" w:lineRule="auto"/>
      </w:pPr>
      <w:r>
        <w:rPr>
          <w:b/>
          <w:sz w:val="24"/>
        </w:rPr>
        <w:t>R2-1 — Residual causal / directional wording</w:t>
      </w:r>
    </w:p>
    <w:p>
      <w:pPr>
        <w:spacing w:before="0" w:after="120" w:line="312" w:lineRule="auto"/>
      </w:pPr>
      <w:r>
        <w:rPr>
          <w:i/>
          <w:sz w:val="22"/>
        </w:rPr>
        <w:t>Reviewer 2's comment.</w:t>
      </w:r>
    </w:p>
    <w:p>
      <w:pPr>
        <w:spacing w:before="0" w:after="120" w:line="312" w:lineRule="auto"/>
      </w:pPr>
      <w:r>
        <w:rPr>
          <w:sz w:val="22"/>
        </w:rPr>
        <w:t>Reviewer 2 flagged specific terms — "predictor," "predictive validity," "effects," and "causal pathway" — as still implying causality that the predominantly correlational, cross-sectional evidence base does not support.</w:t>
      </w:r>
    </w:p>
    <w:p>
      <w:pPr>
        <w:spacing w:before="0" w:after="120" w:line="312" w:lineRule="auto"/>
      </w:pPr>
      <w:r>
        <w:rPr>
          <w:b/>
          <w:sz w:val="22"/>
        </w:rPr>
        <w:t>Response.</w:t>
      </w:r>
    </w:p>
    <w:p>
      <w:pPr>
        <w:spacing w:before="0" w:after="120" w:line="312" w:lineRule="auto"/>
      </w:pPr>
      <w:r>
        <w:rPr>
          <w:sz w:val="22"/>
        </w:rPr>
        <w:t>A second-pass language audit has been applied to the entire manuscript to replace these terms with association / correlation language wherever the claim is correlational rather than causal or regression-model-technical. Specifically: "predictor" (used as a substantive claim about traits) has been replaced with "correlate" throughout the Introduction, Results, and Discussion; "predictive validity" has been replaced with "correlational validity"; "causal pathway" has been replaced with "hypothesised association pathway"; and residual instances of "predicts," "predicting," and "effect(s)" have been replaced with "is associated with," "correlated with," and "estimate" / "association" as appropriate to each context. The five remaining occurrences of the string "predictor" in the revised manuscript are all statistical-model or bibliographic in nature and do not carry causal implications: (i) "at most two predictors" and (ii) "single-predictor models" in the β-to-r conversion procedure describe the source regression models; (iii) and (iv) "k ≥ 10 per predictor level" describe the meta-regression power threshold from Borenstein et al. (2021); (v) is inside the title of the Quigley et al. (2022) reference list entry and cannot be altered.</w:t>
      </w:r>
    </w:p>
    <w:p>
      <w:pPr>
        <w:spacing w:before="200" w:after="120" w:line="312" w:lineRule="auto"/>
      </w:pPr>
      <w:r>
        <w:rPr>
          <w:b/>
          <w:sz w:val="24"/>
        </w:rPr>
        <w:t>R2-2 — Practical implications framed as tentative recommendations</w:t>
      </w:r>
    </w:p>
    <w:p>
      <w:pPr>
        <w:spacing w:before="0" w:after="120" w:line="312" w:lineRule="auto"/>
      </w:pPr>
      <w:r>
        <w:rPr>
          <w:i/>
          <w:sz w:val="22"/>
        </w:rPr>
        <w:t>Reviewer 2's comment.</w:t>
      </w:r>
    </w:p>
    <w:p>
      <w:pPr>
        <w:spacing w:before="0" w:after="120" w:line="312" w:lineRule="auto"/>
      </w:pPr>
      <w:r>
        <w:rPr>
          <w:sz w:val="22"/>
        </w:rPr>
        <w:t>Reviewer 2 asked that the practical implications be softened further and framed more explicitly as "hypotheses for future testing" rather than as recommendations.</w:t>
      </w:r>
    </w:p>
    <w:p>
      <w:pPr>
        <w:spacing w:before="0" w:after="120" w:line="312" w:lineRule="auto"/>
      </w:pPr>
      <w:r>
        <w:rPr>
          <w:b/>
          <w:sz w:val="22"/>
        </w:rPr>
        <w:t>Response.</w:t>
      </w:r>
    </w:p>
    <w:p>
      <w:pPr>
        <w:spacing w:before="0" w:after="120" w:line="312" w:lineRule="auto"/>
      </w:pPr>
      <w:r>
        <w:rPr>
          <w:sz w:val="22"/>
        </w:rPr>
        <w:t>The subsection previously titled "Tentative Practical Implications" has been renamed "Hypotheses for Future Practical Testing." The subsection now opens with an explicit statement that "every item below is framed as a hypothesis that requires empirical validation in independent primary research before being operationalised" and that "the subsection is deliberately not framed as 'practical implications' or 'recommendations'." Each of the three substantive items has been rewritten as a labelled "Hypothesis for future practical testing" (HPT-1, HPT-2, HPT-3), and the wording within each hypothesis is now explicit that the hypothesis "requires empirical validation" and is "offered ... for future empirical testing rather than as actionable guidance." Design and instructional language has been removed.</w:t>
      </w:r>
    </w:p>
    <w:p>
      <w:pPr>
        <w:spacing w:before="200" w:after="120" w:line="312" w:lineRule="auto"/>
      </w:pPr>
      <w:r>
        <w:rPr>
          <w:b/>
          <w:sz w:val="24"/>
        </w:rPr>
        <w:t>R2-3 — Subject discipline as a future moderator (verification)</w:t>
      </w:r>
    </w:p>
    <w:p>
      <w:pPr>
        <w:spacing w:before="0" w:after="120" w:line="312" w:lineRule="auto"/>
      </w:pPr>
      <w:r>
        <w:rPr>
          <w:i/>
          <w:sz w:val="22"/>
        </w:rPr>
        <w:t>Reviewer 2's comment.</w:t>
      </w:r>
    </w:p>
    <w:p>
      <w:pPr>
        <w:spacing w:before="0" w:after="120" w:line="312" w:lineRule="auto"/>
      </w:pPr>
      <w:r>
        <w:rPr>
          <w:sz w:val="22"/>
        </w:rPr>
        <w:t>Reviewer 2 noted that the previous response letter claimed the subject-discipline moderator was incorporated, but that this addition is not clearly identifiable in the revised manuscript.</w:t>
      </w:r>
    </w:p>
    <w:p>
      <w:pPr>
        <w:spacing w:before="0" w:after="120" w:line="312" w:lineRule="auto"/>
      </w:pPr>
      <w:r>
        <w:rPr>
          <w:b/>
          <w:sz w:val="22"/>
        </w:rPr>
        <w:t>Response.</w:t>
      </w:r>
    </w:p>
    <w:p>
      <w:pPr>
        <w:spacing w:before="0" w:after="120" w:line="312" w:lineRule="auto"/>
      </w:pPr>
      <w:r>
        <w:rPr>
          <w:sz w:val="22"/>
        </w:rPr>
        <w:t>Reviewer 2 is entirely correct: in the previous round the subject-discipline addition was flagged in the response letter but did not, on inspection, appear as an identifiable, self-contained paragraph in the manuscript itself. This has now been remedied. A new stand-alone paragraph (item "Sixth") has been added to the Future Research Directions subsection. The paragraph explicitly (a) attributes the suggestion to the peer-review process, (b) describes the current heterogeneity of disciplines in the scoping-retained studies (psychology, education, IT / computing, health sciences, business, and mixed general-education contexts), (c) explains why a formal discipline-moderator analysis is not possible in the present k, (d) recommends that discipline be recorded as a first-order extraction field in future updates, (e) proposes two specific testable sub-hypotheses (Conscientiousness × STEM-vs-humanities, Extraversion × discipline-typical peer-interaction level), and (f) recommends categorical rather than free-text coding for reliable pooling.</w:t>
      </w:r>
    </w:p>
    <w:p>
      <w:pPr>
        <w:spacing w:before="200" w:after="120" w:line="312" w:lineRule="auto"/>
      </w:pPr>
      <w:r>
        <w:rPr>
          <w:b/>
          <w:sz w:val="24"/>
        </w:rPr>
        <w:t>R2-4 — Publication-bias analyses framed as descriptive only</w:t>
      </w:r>
    </w:p>
    <w:p>
      <w:pPr>
        <w:spacing w:before="0" w:after="120" w:line="312" w:lineRule="auto"/>
      </w:pPr>
      <w:r>
        <w:rPr>
          <w:i/>
          <w:sz w:val="22"/>
        </w:rPr>
        <w:t>Reviewer 2's comment.</w:t>
      </w:r>
    </w:p>
    <w:p>
      <w:pPr>
        <w:spacing w:before="0" w:after="120" w:line="312" w:lineRule="auto"/>
      </w:pPr>
      <w:r>
        <w:rPr>
          <w:sz w:val="22"/>
        </w:rPr>
        <w:t>Reviewer 2 asked that the publication-bias analyses be framed as descriptive only, with no implication that bias has been ruled out.</w:t>
      </w:r>
    </w:p>
    <w:p>
      <w:pPr>
        <w:spacing w:before="0" w:after="120" w:line="312" w:lineRule="auto"/>
      </w:pPr>
      <w:r>
        <w:rPr>
          <w:b/>
          <w:sz w:val="22"/>
        </w:rPr>
        <w:t>Response.</w:t>
      </w:r>
    </w:p>
    <w:p>
      <w:pPr>
        <w:spacing w:before="0" w:after="120" w:line="312" w:lineRule="auto"/>
      </w:pPr>
      <w:r>
        <w:rPr>
          <w:sz w:val="22"/>
        </w:rPr>
        <w:t>Both the Methods → Publication Bias subsection and the Results → Publication Bias Assessment subsection have been revised to state this framing explicitly. The Methods subsection now opens with the sentence: "Publication-bias diagnostics were computed per trait using four complementary procedures, and are reported for descriptive purposes only rather than as inferential tests capable of ruling out bias." It further states that all four diagnostics and the p-curve analysis are underpowered at the present k = 9–10 and that "non-significant results from any of the diagnostics should not be interpreted as evidence that publication bias is absent." The Results subsection has been retitled "Publication-Bias Diagnostics (descriptive only)" and now opens with an explicit descriptive-only caveat that names each of the four diagnostics (funnel plot, Egger's, Peters', trim-and-fill), states that none of them can rule out publication bias at k = 9–10, and warns that the trim-and-fill imputed studies should not be interpreted as bias-corrected estimates. The narrative discussion of the diagnostic results is reworded to emphasise that "non-significant results should not be interpreted as evidence that publication bias is absent" and that "small-study positive bias for Conscientiousness in particular cannot be ruled out on the basis of the reported diagnostics."</w:t>
      </w:r>
    </w:p>
    <w:p>
      <w:pPr>
        <w:spacing w:before="280" w:after="120" w:line="312" w:lineRule="auto"/>
      </w:pPr>
      <w:r>
        <w:rPr>
          <w:b/>
          <w:sz w:val="24"/>
        </w:rPr>
        <w:t>Closing</w:t>
      </w:r>
    </w:p>
    <w:p>
      <w:pPr>
        <w:spacing w:before="0" w:after="120" w:line="312" w:lineRule="auto"/>
      </w:pPr>
      <w:r>
        <w:rPr>
          <w:sz w:val="22"/>
        </w:rPr>
        <w:t>All four minor-revision items raised by Reviewer 2 have been addressed, and the missing subject-discipline paragraph correctly noted by Reviewer 2 has been added as a stand-alone paragraph in the Future Research Directions subsection. I am grateful to Reviewer 2 for the careful checking across both rounds and for catching the missing paragraph.</w:t>
      </w:r>
    </w:p>
    <w:p>
      <w:pPr>
        <w:spacing w:before="120" w:after="120" w:line="312" w:lineRule="auto"/>
      </w:pPr>
      <w:r>
        <w:rPr>
          <w:sz w:val="22"/>
        </w:rPr>
        <w:t>Sincerely,</w:t>
      </w:r>
    </w:p>
    <w:p>
      <w:pPr>
        <w:spacing w:before="0" w:after="120" w:line="312" w:lineRule="auto"/>
      </w:pPr>
      <w:r>
        <w:rPr>
          <w:sz w:val="22"/>
        </w:rPr>
      </w:r>
    </w:p>
    <w:p>
      <w:pPr>
        <w:spacing w:before="0" w:after="0" w:line="312" w:lineRule="auto"/>
      </w:pPr>
      <w:r>
        <w:rPr>
          <w:sz w:val="20"/>
        </w:rPr>
        <w:t>Eisuke Tokiwa</w:t>
      </w:r>
    </w:p>
    <w:p>
      <w:pPr>
        <w:spacing w:before="0" w:after="0" w:line="312" w:lineRule="auto"/>
      </w:pPr>
      <w:r>
        <w:rPr>
          <w:sz w:val="20"/>
        </w:rPr>
        <w:t>Founder, SUNBLAZE Co., Ltd., Tokyo, Japan</w:t>
      </w:r>
    </w:p>
    <w:p>
      <w:pPr>
        <w:spacing w:before="0" w:after="0" w:line="312" w:lineRule="auto"/>
      </w:pPr>
      <w:r>
        <w:rPr>
          <w:sz w:val="20"/>
        </w:rPr>
        <w:t>ORCID: 0009-0009-7124-6669</w:t>
      </w:r>
    </w:p>
    <w:p>
      <w:pPr>
        <w:spacing w:before="0" w:after="0" w:line="312" w:lineRule="auto"/>
      </w:pPr>
      <w:r>
        <w:rPr>
          <w:sz w:val="20"/>
        </w:rPr>
        <w:t>Email: eisuke.tokiwa@sunblaze.jp</w:t>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